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59B92" w14:textId="207B39C9" w:rsidR="006333E6" w:rsidRDefault="006333E6" w:rsidP="00133AA8">
      <w:pPr>
        <w:pStyle w:val="Ttulo3"/>
        <w:keepLines w:val="0"/>
        <w:spacing w:before="0" w:line="360" w:lineRule="auto"/>
        <w:jc w:val="center"/>
        <w:rPr>
          <w:rFonts w:ascii="Times New Roman" w:hAnsi="Times New Roman" w:cs="Times New Roman"/>
          <w:b/>
          <w:color w:val="auto"/>
          <w:szCs w:val="24"/>
        </w:rPr>
      </w:pPr>
      <w:r>
        <w:rPr>
          <w:noProof/>
        </w:rPr>
        <mc:AlternateContent>
          <mc:Choice Requires="wps">
            <w:drawing>
              <wp:anchor distT="0" distB="0" distL="114300" distR="114300" simplePos="0" relativeHeight="251663360" behindDoc="0" locked="0" layoutInCell="1" allowOverlap="1" wp14:anchorId="32649E80" wp14:editId="31CEE113">
                <wp:simplePos x="0" y="0"/>
                <wp:positionH relativeFrom="margin">
                  <wp:posOffset>-278296</wp:posOffset>
                </wp:positionH>
                <wp:positionV relativeFrom="paragraph">
                  <wp:posOffset>62976</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B66E509" w14:textId="6AD12D35" w:rsidR="006333E6" w:rsidRPr="001674A6" w:rsidRDefault="006333E6" w:rsidP="006333E6">
                            <w:pPr>
                              <w:spacing w:before="100" w:beforeAutospacing="1"/>
                              <w:jc w:val="center"/>
                              <w:rPr>
                                <w:b/>
                                <w:bCs/>
                              </w:rPr>
                            </w:pPr>
                            <w:r>
                              <w:rPr>
                                <w:b/>
                                <w:bCs/>
                              </w:rPr>
                              <w:t xml:space="preserve">APÊNDICE DO </w:t>
                            </w: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2649E80" id="_x0000_t202" coordsize="21600,21600" o:spt="202" path="m,l,21600r21600,l21600,xe">
                <v:stroke joinstyle="miter"/>
                <v:path gradientshapeok="t" o:connecttype="rect"/>
              </v:shapetype>
              <v:shape id="Caixa de Texto 2" o:spid="_x0000_s1026" type="#_x0000_t202" style="position:absolute;left:0;text-align:left;margin-left:-21.9pt;margin-top:4.95pt;width:493.5pt;height:19.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" fillcolor="#e7e6e6" stroked="f" strokeweight=".5pt">
                <v:textbox>
                  <w:txbxContent>
                    <w:p w14:paraId="5B66E509" w14:textId="6AD12D35" w:rsidR="006333E6" w:rsidRPr="001674A6" w:rsidRDefault="006333E6" w:rsidP="006333E6">
                      <w:pPr>
                        <w:spacing w:before="100" w:beforeAutospacing="1"/>
                        <w:jc w:val="center"/>
                        <w:rPr>
                          <w:b/>
                          <w:bCs/>
                        </w:rPr>
                      </w:pPr>
                      <w:r>
                        <w:rPr>
                          <w:b/>
                          <w:bCs/>
                        </w:rPr>
                        <w:t xml:space="preserve">APÊNDICE DO </w:t>
                      </w:r>
                      <w:r>
                        <w:rPr>
                          <w:b/>
                          <w:bCs/>
                        </w:rPr>
                        <w:t>ANEXO I</w:t>
                      </w:r>
                    </w:p>
                  </w:txbxContent>
                </v:textbox>
                <w10:wrap anchorx="margin"/>
              </v:shape>
            </w:pict>
          </mc:Fallback>
        </mc:AlternateContent>
      </w:r>
    </w:p>
    <w:p w14:paraId="46D7EC60" w14:textId="77777777" w:rsidR="006333E6" w:rsidRDefault="006333E6" w:rsidP="00133AA8">
      <w:pPr>
        <w:pStyle w:val="Ttulo3"/>
        <w:keepLines w:val="0"/>
        <w:spacing w:before="0" w:line="360" w:lineRule="auto"/>
        <w:jc w:val="center"/>
        <w:rPr>
          <w:rFonts w:ascii="Times New Roman" w:hAnsi="Times New Roman" w:cs="Times New Roman"/>
          <w:b/>
          <w:color w:val="auto"/>
          <w:szCs w:val="24"/>
        </w:rPr>
      </w:pPr>
    </w:p>
    <w:p w14:paraId="6B86C660" w14:textId="1F061171" w:rsidR="00C85F6F" w:rsidRDefault="00C85F6F" w:rsidP="00133AA8">
      <w:pPr>
        <w:pStyle w:val="Ttulo3"/>
        <w:keepLines w:val="0"/>
        <w:spacing w:before="0" w:line="360" w:lineRule="auto"/>
        <w:jc w:val="center"/>
        <w:rPr>
          <w:rFonts w:ascii="Times New Roman" w:hAnsi="Times New Roman" w:cs="Times New Roman"/>
          <w:b/>
          <w:color w:val="auto"/>
          <w:szCs w:val="24"/>
        </w:rPr>
      </w:pPr>
      <w:r>
        <w:rPr>
          <w:rFonts w:ascii="Times New Roman" w:hAnsi="Times New Roman" w:cs="Times New Roman"/>
          <w:b/>
          <w:color w:val="auto"/>
          <w:szCs w:val="24"/>
        </w:rPr>
        <w:t>ESTUDO TÉCNICO PRELIMINAR</w:t>
      </w:r>
    </w:p>
    <w:p w14:paraId="61EC6DE2" w14:textId="77777777" w:rsidR="00A960CF" w:rsidRDefault="00A960CF" w:rsidP="00C85F6F">
      <w:pPr>
        <w:spacing w:before="240" w:after="240"/>
        <w:jc w:val="both"/>
        <w:rPr>
          <w:b/>
        </w:rPr>
      </w:pPr>
    </w:p>
    <w:p w14:paraId="296418A8" w14:textId="72A292F3" w:rsidR="00C85F6F" w:rsidRDefault="00C85F6F" w:rsidP="00C85F6F">
      <w:pPr>
        <w:spacing w:before="240" w:after="240"/>
        <w:jc w:val="both"/>
        <w:rPr>
          <w:b/>
        </w:rPr>
      </w:pPr>
      <w:r w:rsidRPr="0059385B">
        <w:rPr>
          <w:b/>
        </w:rPr>
        <w:t>1. INTRODUÇÃO</w:t>
      </w:r>
    </w:p>
    <w:p w14:paraId="558AE2D4" w14:textId="77777777" w:rsidR="00C15702" w:rsidRPr="00C15702" w:rsidRDefault="00C15702" w:rsidP="004F709F">
      <w:pPr>
        <w:widowControl/>
        <w:suppressAutoHyphens w:val="0"/>
        <w:spacing w:before="100" w:beforeAutospacing="1" w:after="100" w:afterAutospacing="1"/>
        <w:jc w:val="both"/>
        <w:rPr>
          <w:rFonts w:eastAsia="Times New Roman" w:cs="Times New Roman"/>
          <w:kern w:val="0"/>
          <w:lang w:eastAsia="pt-BR" w:bidi="ar-SA"/>
        </w:rPr>
      </w:pPr>
      <w:r w:rsidRPr="00C15702">
        <w:rPr>
          <w:rFonts w:eastAsia="Times New Roman" w:cs="Times New Roman"/>
          <w:kern w:val="0"/>
          <w:lang w:eastAsia="pt-BR" w:bidi="ar-SA"/>
        </w:rPr>
        <w:t>As contratações realizadas pelo setor público possuem impacto direto na eficiência da gestão administrativa e na aplicação de recursos públicos, sendo fundamental que sejam precedidas de estudos técnicos detalhados. O planejamento prévio permite à administração conhecer as soluções disponíveis no mercado, comparar alternativas e optar pela proposta que melhor concilie custo, qualidade e eficácia.</w:t>
      </w:r>
    </w:p>
    <w:p w14:paraId="4C2CC3DE" w14:textId="77777777" w:rsidR="00C15702" w:rsidRPr="00C15702" w:rsidRDefault="00C15702" w:rsidP="004F709F">
      <w:pPr>
        <w:widowControl/>
        <w:suppressAutoHyphens w:val="0"/>
        <w:spacing w:before="100" w:beforeAutospacing="1" w:after="100" w:afterAutospacing="1"/>
        <w:jc w:val="both"/>
        <w:rPr>
          <w:rFonts w:eastAsia="Times New Roman" w:cs="Times New Roman"/>
          <w:kern w:val="0"/>
          <w:lang w:eastAsia="pt-BR" w:bidi="ar-SA"/>
        </w:rPr>
      </w:pPr>
      <w:r w:rsidRPr="00C15702">
        <w:rPr>
          <w:rFonts w:eastAsia="Times New Roman" w:cs="Times New Roman"/>
          <w:kern w:val="0"/>
          <w:lang w:eastAsia="pt-BR" w:bidi="ar-SA"/>
        </w:rPr>
        <w:t xml:space="preserve">O presente documento apresenta o </w:t>
      </w:r>
      <w:r w:rsidRPr="00C15702">
        <w:rPr>
          <w:rFonts w:eastAsia="Times New Roman" w:cs="Times New Roman"/>
          <w:b/>
          <w:bCs/>
          <w:kern w:val="0"/>
          <w:lang w:eastAsia="pt-BR" w:bidi="ar-SA"/>
        </w:rPr>
        <w:t>Estudo Técnico Preliminar (ETP)</w:t>
      </w:r>
      <w:r w:rsidRPr="00C15702">
        <w:rPr>
          <w:rFonts w:eastAsia="Times New Roman" w:cs="Times New Roman"/>
          <w:kern w:val="0"/>
          <w:lang w:eastAsia="pt-BR" w:bidi="ar-SA"/>
        </w:rPr>
        <w:t xml:space="preserve">, com o objetivo de demonstrar a viabilidade técnica e econômica da contratação da plataforma </w:t>
      </w:r>
      <w:r w:rsidRPr="00C15702">
        <w:rPr>
          <w:rFonts w:eastAsia="Times New Roman" w:cs="Times New Roman"/>
          <w:b/>
          <w:bCs/>
          <w:kern w:val="0"/>
          <w:lang w:eastAsia="pt-BR" w:bidi="ar-SA"/>
        </w:rPr>
        <w:t>ChatGPT Team</w:t>
      </w:r>
      <w:r w:rsidRPr="00C15702">
        <w:rPr>
          <w:rFonts w:eastAsia="Times New Roman" w:cs="Times New Roman"/>
          <w:kern w:val="0"/>
          <w:lang w:eastAsia="pt-BR" w:bidi="ar-SA"/>
        </w:rPr>
        <w:t xml:space="preserve"> para suporte aos departamentos administrativos do CPSMC, bem como estabelecer os requisitos essenciais para o futuro Termo de Referência ou Projeto Básico.</w:t>
      </w:r>
    </w:p>
    <w:tbl>
      <w:tblPr>
        <w:tblW w:w="9498" w:type="dxa"/>
        <w:tblInd w:w="-284" w:type="dxa"/>
        <w:tblCellMar>
          <w:left w:w="70" w:type="dxa"/>
          <w:right w:w="70" w:type="dxa"/>
        </w:tblCellMar>
        <w:tblLook w:val="04A0" w:firstRow="1" w:lastRow="0" w:firstColumn="1" w:lastColumn="0" w:noHBand="0" w:noVBand="1"/>
      </w:tblPr>
      <w:tblGrid>
        <w:gridCol w:w="4395"/>
        <w:gridCol w:w="283"/>
        <w:gridCol w:w="284"/>
        <w:gridCol w:w="1003"/>
        <w:gridCol w:w="200"/>
        <w:gridCol w:w="3333"/>
      </w:tblGrid>
      <w:tr w:rsidR="00C85F6F" w:rsidRPr="00E67F5C" w14:paraId="3E3E4476" w14:textId="77777777" w:rsidTr="008110D6">
        <w:trPr>
          <w:trHeight w:val="315"/>
        </w:trPr>
        <w:tc>
          <w:tcPr>
            <w:tcW w:w="4395" w:type="dxa"/>
            <w:tcBorders>
              <w:top w:val="nil"/>
              <w:left w:val="nil"/>
              <w:bottom w:val="nil"/>
              <w:right w:val="nil"/>
            </w:tcBorders>
            <w:shd w:val="clear" w:color="000000" w:fill="E7E6E6"/>
            <w:noWrap/>
            <w:vAlign w:val="center"/>
            <w:hideMark/>
          </w:tcPr>
          <w:p w14:paraId="5A198E37"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bookmarkStart w:id="0" w:name="_Hlk194485909"/>
            <w:r w:rsidRPr="00E67F5C">
              <w:rPr>
                <w:rFonts w:eastAsia="Times New Roman" w:cs="Times New Roman"/>
                <w:b/>
                <w:bCs/>
                <w:color w:val="000000"/>
                <w:kern w:val="0"/>
                <w:lang w:eastAsia="pt-BR" w:bidi="ar-SA"/>
              </w:rPr>
              <w:t>Unidade Demandante</w:t>
            </w:r>
          </w:p>
        </w:tc>
        <w:tc>
          <w:tcPr>
            <w:tcW w:w="283" w:type="dxa"/>
            <w:tcBorders>
              <w:top w:val="nil"/>
              <w:left w:val="nil"/>
              <w:bottom w:val="nil"/>
              <w:right w:val="nil"/>
            </w:tcBorders>
            <w:shd w:val="clear" w:color="000000" w:fill="FFFFFF"/>
            <w:noWrap/>
            <w:vAlign w:val="center"/>
            <w:hideMark/>
          </w:tcPr>
          <w:p w14:paraId="2171C2CD"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1287" w:type="dxa"/>
            <w:gridSpan w:val="2"/>
            <w:tcBorders>
              <w:top w:val="nil"/>
              <w:left w:val="nil"/>
              <w:bottom w:val="nil"/>
              <w:right w:val="nil"/>
            </w:tcBorders>
            <w:shd w:val="clear" w:color="000000" w:fill="E7E6E6"/>
            <w:noWrap/>
            <w:vAlign w:val="center"/>
            <w:hideMark/>
          </w:tcPr>
          <w:p w14:paraId="244AFEC0"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Sigla</w:t>
            </w:r>
          </w:p>
        </w:tc>
        <w:tc>
          <w:tcPr>
            <w:tcW w:w="200" w:type="dxa"/>
            <w:tcBorders>
              <w:top w:val="nil"/>
              <w:left w:val="nil"/>
              <w:bottom w:val="nil"/>
              <w:right w:val="nil"/>
            </w:tcBorders>
            <w:shd w:val="clear" w:color="000000" w:fill="FFFFFF"/>
            <w:noWrap/>
            <w:vAlign w:val="center"/>
            <w:hideMark/>
          </w:tcPr>
          <w:p w14:paraId="6C1BE224"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3333" w:type="dxa"/>
            <w:tcBorders>
              <w:top w:val="nil"/>
              <w:left w:val="nil"/>
              <w:bottom w:val="nil"/>
              <w:right w:val="nil"/>
            </w:tcBorders>
            <w:shd w:val="clear" w:color="000000" w:fill="E7E6E6"/>
            <w:noWrap/>
            <w:vAlign w:val="center"/>
            <w:hideMark/>
          </w:tcPr>
          <w:p w14:paraId="04BF697B"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Responsáveis</w:t>
            </w:r>
          </w:p>
        </w:tc>
      </w:tr>
      <w:tr w:rsidR="0020731D" w:rsidRPr="00E67F5C" w14:paraId="326795E5" w14:textId="77777777" w:rsidTr="008110D6">
        <w:trPr>
          <w:trHeight w:val="315"/>
        </w:trPr>
        <w:tc>
          <w:tcPr>
            <w:tcW w:w="4395" w:type="dxa"/>
            <w:tcBorders>
              <w:top w:val="nil"/>
              <w:left w:val="nil"/>
              <w:bottom w:val="nil"/>
              <w:right w:val="nil"/>
            </w:tcBorders>
            <w:shd w:val="clear" w:color="auto" w:fill="auto"/>
            <w:noWrap/>
            <w:vAlign w:val="center"/>
            <w:hideMark/>
          </w:tcPr>
          <w:p w14:paraId="75D54638" w14:textId="65696E65" w:rsidR="0020731D" w:rsidRPr="0020731D" w:rsidRDefault="0020731D" w:rsidP="0020731D">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 xml:space="preserve"> </w:t>
            </w:r>
            <w:r w:rsidRPr="0020731D">
              <w:rPr>
                <w:rFonts w:eastAsia="Times New Roman" w:cs="Times New Roman"/>
                <w:color w:val="000000"/>
                <w:kern w:val="0"/>
                <w:lang w:eastAsia="pt-BR" w:bidi="ar-SA"/>
              </w:rPr>
              <w:t>Consórcio Público de saúde da M. de Crato</w:t>
            </w:r>
          </w:p>
        </w:tc>
        <w:tc>
          <w:tcPr>
            <w:tcW w:w="567" w:type="dxa"/>
            <w:gridSpan w:val="2"/>
            <w:tcBorders>
              <w:top w:val="nil"/>
              <w:left w:val="nil"/>
              <w:bottom w:val="nil"/>
              <w:right w:val="nil"/>
            </w:tcBorders>
            <w:shd w:val="clear" w:color="auto" w:fill="auto"/>
            <w:noWrap/>
            <w:vAlign w:val="center"/>
            <w:hideMark/>
          </w:tcPr>
          <w:p w14:paraId="11F3CD01" w14:textId="77777777" w:rsidR="0020731D" w:rsidRPr="0020731D" w:rsidRDefault="0020731D" w:rsidP="0020731D">
            <w:pPr>
              <w:widowControl/>
              <w:suppressAutoHyphens w:val="0"/>
              <w:jc w:val="center"/>
              <w:rPr>
                <w:rFonts w:eastAsia="Times New Roman" w:cs="Times New Roman"/>
                <w:color w:val="000000"/>
                <w:kern w:val="0"/>
                <w:lang w:eastAsia="pt-BR" w:bidi="ar-SA"/>
              </w:rPr>
            </w:pPr>
          </w:p>
        </w:tc>
        <w:tc>
          <w:tcPr>
            <w:tcW w:w="1003" w:type="dxa"/>
            <w:tcBorders>
              <w:top w:val="nil"/>
              <w:left w:val="nil"/>
              <w:bottom w:val="nil"/>
              <w:right w:val="nil"/>
            </w:tcBorders>
            <w:shd w:val="clear" w:color="auto" w:fill="auto"/>
            <w:noWrap/>
            <w:vAlign w:val="center"/>
            <w:hideMark/>
          </w:tcPr>
          <w:p w14:paraId="510C602D" w14:textId="75090BB0" w:rsidR="0020731D" w:rsidRPr="0020731D" w:rsidRDefault="0020731D" w:rsidP="00550BE1">
            <w:pPr>
              <w:widowControl/>
              <w:suppressAutoHyphens w:val="0"/>
              <w:rPr>
                <w:rFonts w:eastAsia="Times New Roman" w:cs="Times New Roman"/>
                <w:color w:val="000000"/>
                <w:kern w:val="0"/>
                <w:lang w:eastAsia="pt-BR" w:bidi="ar-SA"/>
              </w:rPr>
            </w:pPr>
            <w:r w:rsidRPr="0020731D">
              <w:rPr>
                <w:rFonts w:eastAsia="Times New Roman" w:cs="Times New Roman"/>
                <w:color w:val="000000"/>
                <w:kern w:val="0"/>
                <w:lang w:eastAsia="pt-BR" w:bidi="ar-SA"/>
              </w:rPr>
              <w:t>CPSMC</w:t>
            </w:r>
          </w:p>
        </w:tc>
        <w:tc>
          <w:tcPr>
            <w:tcW w:w="200" w:type="dxa"/>
            <w:tcBorders>
              <w:top w:val="nil"/>
              <w:left w:val="nil"/>
              <w:bottom w:val="nil"/>
              <w:right w:val="nil"/>
            </w:tcBorders>
            <w:shd w:val="clear" w:color="auto" w:fill="auto"/>
            <w:noWrap/>
            <w:vAlign w:val="center"/>
            <w:hideMark/>
          </w:tcPr>
          <w:p w14:paraId="62D27CC1" w14:textId="77777777" w:rsidR="0020731D" w:rsidRPr="0020731D" w:rsidRDefault="0020731D" w:rsidP="0020731D">
            <w:pPr>
              <w:widowControl/>
              <w:suppressAutoHyphens w:val="0"/>
              <w:jc w:val="center"/>
              <w:rPr>
                <w:rFonts w:eastAsia="Times New Roman" w:cs="Times New Roman"/>
                <w:color w:val="000000"/>
                <w:kern w:val="0"/>
                <w:lang w:eastAsia="pt-BR" w:bidi="ar-SA"/>
              </w:rPr>
            </w:pPr>
          </w:p>
        </w:tc>
        <w:tc>
          <w:tcPr>
            <w:tcW w:w="3333" w:type="dxa"/>
            <w:tcBorders>
              <w:top w:val="nil"/>
              <w:left w:val="nil"/>
              <w:bottom w:val="nil"/>
              <w:right w:val="nil"/>
            </w:tcBorders>
            <w:shd w:val="clear" w:color="auto" w:fill="auto"/>
            <w:noWrap/>
            <w:vAlign w:val="center"/>
            <w:hideMark/>
          </w:tcPr>
          <w:p w14:paraId="4008F339" w14:textId="165A3F85" w:rsidR="0020731D" w:rsidRPr="0020731D" w:rsidRDefault="0020731D" w:rsidP="0020731D">
            <w:pPr>
              <w:widowControl/>
              <w:suppressAutoHyphens w:val="0"/>
              <w:jc w:val="center"/>
              <w:rPr>
                <w:rFonts w:eastAsia="Times New Roman" w:cs="Times New Roman"/>
                <w:color w:val="000000"/>
                <w:kern w:val="0"/>
                <w:lang w:eastAsia="pt-BR" w:bidi="ar-SA"/>
              </w:rPr>
            </w:pPr>
            <w:r w:rsidRPr="0020731D">
              <w:rPr>
                <w:rFonts w:eastAsia="Times New Roman" w:cs="Times New Roman"/>
                <w:color w:val="000000"/>
                <w:kern w:val="0"/>
                <w:lang w:eastAsia="pt-BR" w:bidi="ar-SA"/>
              </w:rPr>
              <w:t>Lis Mendes Pinheiro M. Parente</w:t>
            </w:r>
          </w:p>
        </w:tc>
      </w:tr>
    </w:tbl>
    <w:bookmarkEnd w:id="0"/>
    <w:p w14:paraId="6FAF3D1C" w14:textId="77777777" w:rsidR="00C85F6F" w:rsidRDefault="00C85F6F" w:rsidP="00BA67DA">
      <w:pPr>
        <w:spacing w:before="240" w:after="240"/>
        <w:jc w:val="both"/>
        <w:rPr>
          <w:b/>
        </w:rPr>
      </w:pPr>
      <w:r>
        <w:rPr>
          <w:b/>
        </w:rPr>
        <w:t xml:space="preserve">2. </w:t>
      </w:r>
      <w:r w:rsidRPr="00D54159">
        <w:rPr>
          <w:b/>
        </w:rPr>
        <w:t>DESCRIÇÃO DA NECESSIDADE DA CONTRATAÇÃO</w:t>
      </w:r>
    </w:p>
    <w:p w14:paraId="5417B702" w14:textId="1D3A45C3" w:rsidR="00C15702" w:rsidRPr="00C15702" w:rsidRDefault="00C15702" w:rsidP="004F709F">
      <w:pPr>
        <w:spacing w:before="240" w:after="240"/>
        <w:jc w:val="both"/>
        <w:rPr>
          <w:rFonts w:cs="Times New Roman"/>
        </w:rPr>
      </w:pPr>
      <w:r w:rsidRPr="00C15702">
        <w:rPr>
          <w:rFonts w:cs="Times New Roman"/>
        </w:rPr>
        <w:t>A presente contratação tem por finalidade a aquisição da ferramenta</w:t>
      </w:r>
      <w:r>
        <w:rPr>
          <w:rFonts w:cs="Times New Roman"/>
        </w:rPr>
        <w:t xml:space="preserve"> de</w:t>
      </w:r>
      <w:r w:rsidRPr="00C15702">
        <w:rPr>
          <w:rFonts w:cs="Times New Roman"/>
        </w:rPr>
        <w:t xml:space="preserve"> solução de inteligência artificial em nuvem voltada ao apoio de atividades administrativas, elaboração de documentos, organização de processos, suporte em análises técnicas e auxílio às demandas gerenciais do CPSMC.</w:t>
      </w:r>
    </w:p>
    <w:p w14:paraId="775D85C8" w14:textId="1BEBD6D2" w:rsidR="00C15702" w:rsidRPr="00C15702" w:rsidRDefault="00C15702" w:rsidP="004F709F">
      <w:pPr>
        <w:spacing w:before="240" w:after="240"/>
        <w:jc w:val="both"/>
        <w:rPr>
          <w:rFonts w:cs="Times New Roman"/>
        </w:rPr>
      </w:pPr>
      <w:r w:rsidRPr="00C15702">
        <w:rPr>
          <w:rFonts w:cs="Times New Roman"/>
        </w:rPr>
        <w:t>A ferramenta visa atender, de forma inovadora e eficiente, às necessidades de produção de documentos técnicos (ETPs, TRs pareceres, relatórios e comunicações oficiais), padronização de redações administrativas, auxílio em pesquisas, suporte à tomada de decisão e otimização de fluxos de trabalho.</w:t>
      </w:r>
    </w:p>
    <w:p w14:paraId="560AD331" w14:textId="5063F692" w:rsidR="00C15702" w:rsidRPr="00C15702" w:rsidRDefault="00C15702" w:rsidP="004F709F">
      <w:pPr>
        <w:spacing w:before="240" w:after="240"/>
        <w:jc w:val="both"/>
        <w:rPr>
          <w:rFonts w:cs="Times New Roman"/>
        </w:rPr>
      </w:pPr>
      <w:r w:rsidRPr="00C15702">
        <w:rPr>
          <w:rFonts w:cs="Times New Roman"/>
        </w:rPr>
        <w:t>O uso de inteligência artificial possibilitará ganhos de eficiência, celeridade e qualidade nos processos internos, garantindo maior produtividade da equipe técnica e redução de retrabalho, além de modernizar a gestão administrativa em alinhamento com as diretrizes de inovação no setor público.</w:t>
      </w:r>
    </w:p>
    <w:p w14:paraId="12E70866" w14:textId="77777777" w:rsidR="00C15702" w:rsidRDefault="00C15702" w:rsidP="004F709F">
      <w:pPr>
        <w:spacing w:before="240" w:after="240"/>
        <w:jc w:val="both"/>
        <w:rPr>
          <w:rFonts w:cs="Times New Roman"/>
        </w:rPr>
      </w:pPr>
      <w:r w:rsidRPr="00C15702">
        <w:rPr>
          <w:rFonts w:cs="Times New Roman"/>
        </w:rPr>
        <w:t>Assim, a contratação é imprescindível para assegurar a melhoria contínua na prestação de serviços de saúde, fortalecendo a capacidade organizacional do CPSMC, com reflexo direto na agilidade das contratações, na elaboração de documentos técnicos qualificados e na eficiência do uso dos recursos públicos.</w:t>
      </w:r>
    </w:p>
    <w:p w14:paraId="4229870D" w14:textId="25F714D5" w:rsidR="00C85F6F" w:rsidRPr="004D6B2C" w:rsidRDefault="00C85F6F" w:rsidP="00C15702">
      <w:pPr>
        <w:spacing w:before="240" w:after="240"/>
        <w:jc w:val="both"/>
      </w:pPr>
      <w:r>
        <w:rPr>
          <w:rFonts w:cs="Times New Roman"/>
          <w:b/>
        </w:rPr>
        <w:t xml:space="preserve">3. </w:t>
      </w:r>
      <w:r w:rsidRPr="00F01429">
        <w:rPr>
          <w:rFonts w:cs="Times New Roman"/>
          <w:b/>
        </w:rPr>
        <w:t>DEMONSTRAÇÃO DA PREVISÃO DA CONTRATAÇÃO NO PLANO DE CONTRATAÇÕES ANUA</w:t>
      </w:r>
      <w:r>
        <w:rPr>
          <w:rFonts w:cs="Times New Roman"/>
          <w:b/>
        </w:rPr>
        <w:t>L</w:t>
      </w:r>
    </w:p>
    <w:p w14:paraId="4CAD09C7" w14:textId="77777777" w:rsidR="007365FC" w:rsidRDefault="007365FC" w:rsidP="007365FC">
      <w:pPr>
        <w:jc w:val="both"/>
      </w:pPr>
      <w:r>
        <w:t xml:space="preserve">A presente contratação não consta no Plano de Contratações Anual – PCA do exercício de </w:t>
      </w:r>
      <w:r>
        <w:lastRenderedPageBreak/>
        <w:t>2025. Todavia, ressalta-se que a demanda surgiu em decorrência de necessidade identificada posteriormente à elaboração do referido plano, relacionada à modernização administrativa e ao aprimoramento das atividades desenvolvidas pelo CPSMC.</w:t>
      </w:r>
    </w:p>
    <w:p w14:paraId="255CEE66" w14:textId="77777777" w:rsidR="007365FC" w:rsidRDefault="007365FC" w:rsidP="007365FC">
      <w:pPr>
        <w:jc w:val="both"/>
      </w:pPr>
    </w:p>
    <w:p w14:paraId="2329517F" w14:textId="419D7FCF" w:rsidR="007365FC" w:rsidRDefault="007365FC" w:rsidP="007365FC">
      <w:pPr>
        <w:spacing w:before="240" w:after="240"/>
        <w:jc w:val="both"/>
      </w:pPr>
      <w:r>
        <w:t>Trata-se de uma contratação de baixo valor, cujo impacto orçamentário e financeiro é reduzido, não comprometendo o equilíbrio das contas nem a execução das demais ações previstas no planejamento anual do Consórcio.</w:t>
      </w:r>
    </w:p>
    <w:p w14:paraId="3B342C76" w14:textId="73D4B12A" w:rsidR="007365FC" w:rsidRDefault="007365FC" w:rsidP="007365FC">
      <w:pPr>
        <w:spacing w:before="240" w:after="240"/>
        <w:jc w:val="both"/>
      </w:pPr>
      <w:r>
        <w:t>Ademais, a ausência de previsão no PCA não inviabiliza a contratação, desde que devidamente motivada e fundamentada, especialmente em casos em que se demonstre a vantajosidade, a economicidade e a necessidade para continuidade e eficiência dos serviços públicos.</w:t>
      </w:r>
    </w:p>
    <w:p w14:paraId="03D4B07F" w14:textId="77777777" w:rsidR="007365FC" w:rsidRDefault="007365FC" w:rsidP="007365FC">
      <w:pPr>
        <w:spacing w:before="240" w:after="240"/>
        <w:jc w:val="both"/>
      </w:pPr>
      <w:r>
        <w:t>Assim, a contratação mostra-se plenamente justificável, uma vez que assegura benefícios institucionais relevantes ao CPSMC, sem representar risco orçamentário ou financeiro para o exercício vigente.</w:t>
      </w:r>
    </w:p>
    <w:p w14:paraId="553DDAD7" w14:textId="09C91FC6" w:rsidR="00C85F6F" w:rsidRPr="00A13397" w:rsidRDefault="00C85F6F" w:rsidP="007365FC">
      <w:pPr>
        <w:spacing w:before="240" w:after="240"/>
        <w:jc w:val="both"/>
        <w:rPr>
          <w:b/>
        </w:rPr>
      </w:pPr>
      <w:r>
        <w:rPr>
          <w:b/>
        </w:rPr>
        <w:t>4</w:t>
      </w:r>
      <w:r w:rsidRPr="00A13397">
        <w:rPr>
          <w:b/>
        </w:rPr>
        <w:t>. REQUISITOS DA CONTRATAÇÃO</w:t>
      </w:r>
    </w:p>
    <w:p w14:paraId="02E7C91B" w14:textId="5454E4FA" w:rsidR="003F2C73" w:rsidRPr="003F2C73" w:rsidRDefault="003F2C73" w:rsidP="007365FC">
      <w:pPr>
        <w:widowControl/>
        <w:suppressAutoHyphens w:val="0"/>
        <w:spacing w:before="240" w:after="240"/>
        <w:jc w:val="both"/>
        <w:rPr>
          <w:rFonts w:eastAsia="Times New Roman" w:cs="Times New Roman"/>
          <w:kern w:val="0"/>
          <w:lang w:eastAsia="pt-BR" w:bidi="ar-SA"/>
        </w:rPr>
      </w:pPr>
      <w:r w:rsidRPr="003F2C73">
        <w:rPr>
          <w:rFonts w:eastAsia="Times New Roman" w:cs="Times New Roman"/>
          <w:kern w:val="0"/>
          <w:lang w:eastAsia="pt-BR" w:bidi="ar-SA"/>
        </w:rPr>
        <w:t>A contratação não possui natureza continuada, com vigência máxima de 12 meses, nos termos da Lei nº 14.133/2021. Os requisitos mínimos incluem:</w:t>
      </w:r>
    </w:p>
    <w:p w14:paraId="111AB1A1" w14:textId="66DAAA6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Fornecimento de acesso à plataforma, com funcionalidades completas de colaboração, gerenciamento de equipes, personalização de fluxos de trabalho e controle de usuários;</w:t>
      </w:r>
    </w:p>
    <w:p w14:paraId="481D3665"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Operação 100% online, com alta disponibilidade, confiabilidade e segurança durante todo o expediente do CPSMC;</w:t>
      </w:r>
    </w:p>
    <w:p w14:paraId="23BCA76C"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Uso simultâneo por múltiplos setores, com gerenciamento centralizado e permissões individualizadas;</w:t>
      </w:r>
    </w:p>
    <w:p w14:paraId="176F8ED6"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Interação em linguagem natural, mantendo coerência em conversas longas ou fluxos complexos;</w:t>
      </w:r>
    </w:p>
    <w:p w14:paraId="2DC76EDA"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Criação de fluxos personalizados, automação de tarefas e geração de relatórios administrativos;</w:t>
      </w:r>
    </w:p>
    <w:p w14:paraId="56F46322"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Compatibilidade com interpretação normativa, elaboração de documentos oficiais, pareceres técnicos e minutas de editais;</w:t>
      </w:r>
    </w:p>
    <w:p w14:paraId="788BE331"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Interface intuitiva em português, sem necessidade de instalação de softwares adicionais;</w:t>
      </w:r>
    </w:p>
    <w:p w14:paraId="2997D8D2"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Suporte técnico em tempo real durante o expediente;</w:t>
      </w:r>
    </w:p>
    <w:p w14:paraId="4165BA3E"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Atualizações automáticas contínuas, alinhadas a normas técnicas e regulatórias;</w:t>
      </w:r>
    </w:p>
    <w:p w14:paraId="76A6C113"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Segurança de dados com criptografia ponta a ponta, autenticação em dois fatores e conformidade com a LGPD;</w:t>
      </w:r>
    </w:p>
    <w:p w14:paraId="7649ECF6"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Suporte a múltiplos idiomas, com tradução automática e contextualizada;</w:t>
      </w:r>
    </w:p>
    <w:p w14:paraId="0D148B56"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Apresentação de documentação técnica detalhada;</w:t>
      </w:r>
    </w:p>
    <w:p w14:paraId="6832205B"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Responsabilidade da empresa por todos os encargos decorrentes da execução do contrato;</w:t>
      </w:r>
    </w:p>
    <w:p w14:paraId="66103326" w14:textId="77777777"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Atendimento integral às condições do Termo de Referência, proposta comercial e legislação vigente;</w:t>
      </w:r>
    </w:p>
    <w:p w14:paraId="1021D9A7" w14:textId="0F7A0C9F" w:rsidR="003F2C73" w:rsidRPr="003F2C73" w:rsidRDefault="003F2C73" w:rsidP="003F2C73">
      <w:pPr>
        <w:widowControl/>
        <w:numPr>
          <w:ilvl w:val="0"/>
          <w:numId w:val="37"/>
        </w:numPr>
        <w:suppressAutoHyphens w:val="0"/>
        <w:spacing w:before="100" w:beforeAutospacing="1" w:after="100" w:afterAutospacing="1"/>
        <w:jc w:val="both"/>
        <w:rPr>
          <w:rFonts w:eastAsia="Times New Roman" w:cs="Times New Roman"/>
          <w:kern w:val="0"/>
          <w:lang w:eastAsia="pt-BR" w:bidi="ar-SA"/>
        </w:rPr>
      </w:pPr>
      <w:r w:rsidRPr="003F2C73">
        <w:rPr>
          <w:rFonts w:eastAsia="Times New Roman" w:cs="Times New Roman"/>
          <w:kern w:val="0"/>
          <w:lang w:eastAsia="pt-BR" w:bidi="ar-SA"/>
        </w:rPr>
        <w:t>O CPSMC reserva-se ao direito de recusar a solução caso não atenda às especificações e condições exigidas.</w:t>
      </w:r>
    </w:p>
    <w:p w14:paraId="390BEC99" w14:textId="77777777" w:rsidR="00C85F6F" w:rsidRPr="00DA00E7" w:rsidRDefault="00C85F6F" w:rsidP="004F709F">
      <w:pPr>
        <w:spacing w:before="240" w:after="240"/>
        <w:jc w:val="both"/>
      </w:pPr>
      <w:r w:rsidRPr="008B3359">
        <w:lastRenderedPageBreak/>
        <w:t xml:space="preserve">Será exigido da licitante mais bem classificada à </w:t>
      </w:r>
      <w:r w:rsidRPr="008B3359">
        <w:rPr>
          <w:b/>
        </w:rPr>
        <w:t>habilitação jurídica</w:t>
      </w:r>
      <w:r w:rsidRPr="008B3359">
        <w:t xml:space="preserve"> e à </w:t>
      </w:r>
      <w:r w:rsidRPr="008B3359">
        <w:rPr>
          <w:b/>
        </w:rPr>
        <w:t>regularidade fiscal</w:t>
      </w:r>
      <w:r w:rsidRPr="008B3359">
        <w:t>,</w:t>
      </w:r>
      <w:r w:rsidRPr="008B3359">
        <w:rPr>
          <w:b/>
        </w:rPr>
        <w:t xml:space="preserve"> social</w:t>
      </w:r>
      <w:r w:rsidRPr="008B3359">
        <w:t>,</w:t>
      </w:r>
      <w:r w:rsidRPr="008B3359">
        <w:rPr>
          <w:b/>
        </w:rPr>
        <w:t xml:space="preserve"> previdenciária</w:t>
      </w:r>
      <w:r w:rsidRPr="008B3359">
        <w:t xml:space="preserve"> e</w:t>
      </w:r>
      <w:r w:rsidRPr="008B3359">
        <w:rPr>
          <w:b/>
        </w:rPr>
        <w:t xml:space="preserve"> trabalhista</w:t>
      </w:r>
      <w:r w:rsidRPr="008B3359">
        <w:t>. Caso tal documentação comprobatóri</w:t>
      </w:r>
      <w:r>
        <w:t>a</w:t>
      </w:r>
      <w:r w:rsidRPr="008B3359">
        <w:t xml:space="preserve"> não esteja disponibilizada digitalmente no SICAF</w:t>
      </w:r>
      <w:r>
        <w:t>,</w:t>
      </w:r>
      <w:r w:rsidRPr="008B3359">
        <w:t xml:space="preserve"> deverá ser solicitada a empresa. </w:t>
      </w:r>
      <w:bookmarkStart w:id="1" w:name="_Hlk160024078"/>
      <w:r w:rsidRPr="00C04151">
        <w:t>A licitante deverá apresentar a documentação comprobatória dos seguintes requisitos de habilitação:</w:t>
      </w:r>
    </w:p>
    <w:p w14:paraId="71CE7CF2" w14:textId="61C6932B" w:rsidR="00E451D5" w:rsidRDefault="00E451D5" w:rsidP="004F709F">
      <w:pPr>
        <w:spacing w:before="240" w:after="240"/>
        <w:jc w:val="both"/>
      </w:pPr>
      <w:bookmarkStart w:id="2" w:name="_Hlk160024122"/>
      <w:bookmarkStart w:id="3" w:name="_Hlk163727278"/>
      <w:bookmarkEnd w:id="1"/>
      <w:r w:rsidRPr="000717A1">
        <w:t>Será exigido certidões ou atestado que demonstrem capacidade operacional na execução de serviços similares de complexidade tecnológica e operacional equivalente ou superior conforme a Lei Federal 14.133/2021 nos termos do artigo 67 inciso II</w:t>
      </w:r>
      <w:r w:rsidR="003F2C73">
        <w:t>.</w:t>
      </w:r>
    </w:p>
    <w:p w14:paraId="48375E16" w14:textId="77777777" w:rsidR="003F2C73" w:rsidRDefault="003F2C73" w:rsidP="004F709F">
      <w:pPr>
        <w:spacing w:before="240" w:after="240"/>
        <w:jc w:val="both"/>
      </w:pPr>
      <w:r>
        <w:t xml:space="preserve">A solicitação de atestado de capacidade técnica, conforme disposto pela Lei nº 14.133/2021 (Nova Lei de Licitações e Contratos Administrativos), é uma medida fundamental para garantir que as empresas contratadas pela administração pública possuam a expertise necessária para a execução dos serviços ou fornecimento de bens conforme os padrões de qualidade e segurança exigidos. Essa exigência visa assegurar que o contratado tenha experiência prévia e comprovada na execução de atividades semelhantes às solicitadas, minimizando riscos para a administração pública e promovendo a boa utilização dos recursos públicos. </w:t>
      </w:r>
    </w:p>
    <w:p w14:paraId="0D49E654" w14:textId="77777777" w:rsidR="003F2C73" w:rsidRDefault="003F2C73" w:rsidP="004F709F">
      <w:pPr>
        <w:spacing w:before="240" w:after="240"/>
        <w:jc w:val="both"/>
      </w:pPr>
      <w:r>
        <w:t xml:space="preserve">Primeiramente, a exigência do atestado de capacidade técnica visa assegurar a qualificação da empresa contratada, permitindo à administração pública escolher fornecedores que comprovadamente possuem a competência e a experiência necessárias para realizar os serviços ou entregar os produtos de acordo com as especificações contratuais. No contexto de contratações públicas, garantir a idoneidade e a capacidade técnica da empresa é essencial para que o serviço seja executado dentro do prazo, com qualidade e sem intercorrências que possam comprometer o resultado esperado. </w:t>
      </w:r>
    </w:p>
    <w:p w14:paraId="5C6E7F99" w14:textId="0F21586C" w:rsidR="003F2C73" w:rsidRDefault="003F2C73" w:rsidP="004F709F">
      <w:pPr>
        <w:spacing w:before="240" w:after="240"/>
        <w:jc w:val="both"/>
      </w:pPr>
      <w:r>
        <w:t>A solicitação de atestado de capacidade técnica, conforme a Lei nº 14.133, também tem o objetivo de reduzir os riscos de inadimplemento contratual e de não conformidade com as exigências de segurança e qualidade, uma vez que a experiência prévia da empresa em contratos semelhantes atesta sua aptidão para o tipo de serviço a ser prestado. Isso contribui para a eficiência da contratação pública, uma vez que a administração pode confiar que a empresa tem a capacidade operacional, os recursos humanos e materiais adequados para o cumprimento das obrigações contratuais.</w:t>
      </w:r>
    </w:p>
    <w:p w14:paraId="6DC00945" w14:textId="77777777" w:rsidR="004F709F" w:rsidRDefault="003F2C73" w:rsidP="004F709F">
      <w:pPr>
        <w:spacing w:before="240" w:after="240"/>
        <w:jc w:val="both"/>
      </w:pPr>
      <w:r>
        <w:t xml:space="preserve">Outro ponto importante é que a exigência do atestado de capacidade técnica está em consonância com o princípio da economicidade previsto na Lei nº 14.133/2021. Contratar uma empresa que já tenha experiência na área evita a possibilidade de falhas operacionais e problemas imprevistos que poderiam resultar em custos adicionais, retrabalhos ou até mesmo na necessidade de novas contratações. A empresa com histórico comprovado tem maior probabilidade de realizar o serviço de forma eficiente, cumprindo as metas estabelecidas e evitando desperdício de recursos públicos. </w:t>
      </w:r>
    </w:p>
    <w:p w14:paraId="104FD29E" w14:textId="77777777" w:rsidR="004F709F" w:rsidRDefault="003F2C73" w:rsidP="004F709F">
      <w:pPr>
        <w:spacing w:before="240" w:after="240"/>
        <w:jc w:val="both"/>
      </w:pPr>
      <w:r>
        <w:t xml:space="preserve">A Lei nº 14.133 também estabelece que, ao solicitar o atestado de capacidade técnica, a administração pública promove a transparência e a concorrência no processo licitatório. Isso garante que todas as empresas participantes da licitação atendam aos mesmos requisitos de qualificação, oferecendo condições justas e permitindo que a administração pública tenha segurança na escolha do fornecedor mais adequado para a execução do contrato. </w:t>
      </w:r>
    </w:p>
    <w:p w14:paraId="473BB1FB" w14:textId="77777777" w:rsidR="004F709F" w:rsidRDefault="003F2C73" w:rsidP="004F709F">
      <w:pPr>
        <w:spacing w:before="240" w:after="240"/>
        <w:jc w:val="both"/>
      </w:pPr>
      <w:r>
        <w:t xml:space="preserve">Por fim, a exigência do atestado de capacidade técnica contribui diretamente para a qualidade </w:t>
      </w:r>
      <w:r>
        <w:lastRenderedPageBreak/>
        <w:t xml:space="preserve">do serviço prestado à população. Ao garantir que a empresa contratada tenha experiência e competência técnica, a administração pública assegura que o serviço, bem ou obra contratados sejam realizados de acordo com os padrões exigidos, cumprindo as expectativas da sociedade e proporcionando um uso eficiente dos recursos públicos. </w:t>
      </w:r>
    </w:p>
    <w:p w14:paraId="4BB5C0D3" w14:textId="614FA361" w:rsidR="003F2C73" w:rsidRPr="000717A1" w:rsidRDefault="003F2C73" w:rsidP="004F709F">
      <w:pPr>
        <w:spacing w:before="240" w:after="240"/>
        <w:jc w:val="both"/>
      </w:pPr>
      <w:r>
        <w:t>Em resumo, a solicitação de atestado de capacidade técnica, conforme a Lei nº 14.133/2021, é uma prática necessária para assegurar que a empresa contratada possua as qualificações e a experiência necessárias para realizar o serviço ou fornecer o bem de acordo com as exigências contratuais e os padrões legais. Isso garante a execução do contrato com qualidade, eficiência e transparência, beneficiando a administração pública e a sociedade de forma geral.</w:t>
      </w:r>
    </w:p>
    <w:bookmarkEnd w:id="2"/>
    <w:bookmarkEnd w:id="3"/>
    <w:p w14:paraId="127DF77C" w14:textId="77777777" w:rsidR="004F709F" w:rsidRPr="004F709F" w:rsidRDefault="004F709F" w:rsidP="00C85F6F">
      <w:pPr>
        <w:spacing w:before="240" w:after="240"/>
        <w:jc w:val="both"/>
        <w:rPr>
          <w:b/>
          <w:bCs/>
        </w:rPr>
      </w:pPr>
      <w:r w:rsidRPr="004F709F">
        <w:rPr>
          <w:b/>
          <w:bCs/>
        </w:rPr>
        <w:t xml:space="preserve">PARAGRAFO SEGUNDO: DA DISPENSA DE APRESENTAÇÃO DE HABILITAÇÃO ECONÔMICA E FINANCEIRA </w:t>
      </w:r>
    </w:p>
    <w:p w14:paraId="662E0BD6" w14:textId="77777777" w:rsidR="004F709F" w:rsidRDefault="004F709F" w:rsidP="00C85F6F">
      <w:pPr>
        <w:spacing w:before="240" w:after="240"/>
        <w:jc w:val="both"/>
      </w:pPr>
      <w:r>
        <w:t xml:space="preserve">O artigo 70 da Lei nº 14.133/2021 estabelece, em seu INCISO III, que a Administração Pública poderá dispensar a exigência de apresentação de alguns documentos do CAPITULO VI da Lei 14.133/2021 total ou parcialmente, entre eles (habilitação econômica e financeira) quando o objeto da licitação estiver enquadrado nas seguintes hipóteses previstas em lei, conforme destacado abaixo: </w:t>
      </w:r>
    </w:p>
    <w:p w14:paraId="12B8E683" w14:textId="77777777" w:rsidR="004F709F" w:rsidRPr="004F709F" w:rsidRDefault="004F709F" w:rsidP="004F709F">
      <w:pPr>
        <w:spacing w:before="240" w:after="240"/>
        <w:ind w:left="2268"/>
        <w:jc w:val="both"/>
        <w:rPr>
          <w:b/>
          <w:bCs/>
          <w:i/>
          <w:iCs/>
          <w:sz w:val="22"/>
          <w:szCs w:val="22"/>
        </w:rPr>
      </w:pPr>
      <w:r w:rsidRPr="004F709F">
        <w:rPr>
          <w:b/>
          <w:bCs/>
          <w:i/>
          <w:iCs/>
          <w:sz w:val="22"/>
          <w:szCs w:val="22"/>
        </w:rPr>
        <w:t xml:space="preserve">II - dispensada,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w:t>
      </w:r>
    </w:p>
    <w:p w14:paraId="661BDE34" w14:textId="77777777" w:rsidR="004F709F" w:rsidRDefault="004F709F" w:rsidP="00C85F6F">
      <w:pPr>
        <w:spacing w:before="240" w:after="240"/>
        <w:jc w:val="both"/>
      </w:pPr>
      <w:r>
        <w:t xml:space="preserve">Dentro das hipóteses elencados no Art.70, inciso III, a futura contratação enquadra-se no formato de entrega imediata, devido ao seu reduzido valor e baixa complexidade do serviço a ser realizado, possibilitando assim, a dispensa parcial dos documentos de habilitação, no caso em tela (habilitação econômica e financeira), simplificado a participação das empresas interessadas no certame, inclusive para empresas de menor porte ou de características simplificadas, aumentando a competitividade e a busca pelo melhor preço para administração. </w:t>
      </w:r>
    </w:p>
    <w:p w14:paraId="6431E94F" w14:textId="77777777" w:rsidR="004F709F" w:rsidRDefault="004F709F" w:rsidP="00C85F6F">
      <w:pPr>
        <w:spacing w:before="240" w:after="240"/>
        <w:jc w:val="both"/>
      </w:pPr>
      <w:r>
        <w:t xml:space="preserve">Além disso, a dispensa parcial dos documentos de habilitação (habilitação econômica e financeira), poderá trazer benefícios tanto para administração municipal quanto para os potenciais licitantes, vejamos: </w:t>
      </w:r>
    </w:p>
    <w:p w14:paraId="6C5C5178" w14:textId="5628542B" w:rsidR="003F2C73" w:rsidRDefault="004F709F" w:rsidP="00C85F6F">
      <w:pPr>
        <w:spacing w:before="240" w:after="240"/>
        <w:jc w:val="both"/>
      </w:pPr>
      <w:r w:rsidRPr="004F709F">
        <w:rPr>
          <w:b/>
          <w:bCs/>
        </w:rPr>
        <w:t>Desburocratização e Simplificação dos Procedimentos Licitatórios</w:t>
      </w:r>
      <w:r>
        <w:t>: A dispensa da exigência de habilitação econômica e financeira irá ajudar a simplificar e desburocratizar os processos licitatórios, especialmente quando o objeto da licitação é de menor valor ou quando a Administração Pública considera que o risco de inadimplência ou execução inadequada do contrato é reduzido. Essa medida busca incentivar a participação de microempresas, pequenas empresas e até mesmo empreendedores individuais em certames de menor valor, fomentando a competitividade e a diversidade de fornecedores.</w:t>
      </w:r>
    </w:p>
    <w:p w14:paraId="167B3C84" w14:textId="77777777" w:rsidR="004F709F" w:rsidRDefault="004F709F" w:rsidP="00C85F6F">
      <w:pPr>
        <w:spacing w:before="240" w:after="240"/>
        <w:jc w:val="both"/>
      </w:pPr>
      <w:r w:rsidRPr="004F709F">
        <w:rPr>
          <w:b/>
        </w:rPr>
        <w:t xml:space="preserve">Adequação ao Objeto da Licitação: </w:t>
      </w:r>
      <w:r w:rsidRPr="004F709F">
        <w:rPr>
          <w:bCs/>
        </w:rPr>
        <w:t>A Lei nº 14.133/2021 permite que a Administração possa dispensar tais</w:t>
      </w:r>
      <w:r>
        <w:rPr>
          <w:b/>
        </w:rPr>
        <w:t xml:space="preserve"> </w:t>
      </w:r>
      <w:r>
        <w:t xml:space="preserve">exigências quando o objeto da licitação for de baixo valor, considerando que os riscos envolvidos na contratação são menores. Isso é especialmente pertinente em serviços ou fornecimentos que demandam menos complexidade econômica, onde as garantias oferecidas pelos documentos habituais não são imprescindíveis para assegurar a execução do </w:t>
      </w:r>
      <w:r>
        <w:lastRenderedPageBreak/>
        <w:t xml:space="preserve">contrato. </w:t>
      </w:r>
    </w:p>
    <w:p w14:paraId="3014634C" w14:textId="77777777" w:rsidR="004F709F" w:rsidRDefault="004F709F" w:rsidP="00C85F6F">
      <w:pPr>
        <w:spacing w:before="240" w:after="240"/>
        <w:jc w:val="both"/>
      </w:pPr>
      <w:r w:rsidRPr="004F709F">
        <w:rPr>
          <w:b/>
          <w:bCs/>
        </w:rPr>
        <w:t>Facilitação para Microempresas e Empresas de Pequeno Porte (ME/EPP)</w:t>
      </w:r>
      <w:r>
        <w:t xml:space="preserve">: A dispensa de requisitos como a comprovação da habilitação financeira pode ser vista como uma forma de fomento ao desenvolvimento de microempresas e empresas de pequeno porte. A exigência de documentos mais simples ou dispensáveis pode ampliar o acesso dessas empresas a oportunidades no setor público, fomentando a inclusão e contribuindo para a geração de empregos e o desenvolvimento econômico local e regional. </w:t>
      </w:r>
    </w:p>
    <w:p w14:paraId="31D74235" w14:textId="77777777" w:rsidR="004F709F" w:rsidRDefault="004F709F" w:rsidP="00C85F6F">
      <w:pPr>
        <w:spacing w:before="240" w:after="240"/>
        <w:jc w:val="both"/>
      </w:pPr>
      <w:r w:rsidRPr="004F709F">
        <w:rPr>
          <w:b/>
          <w:bCs/>
        </w:rPr>
        <w:t>Articulação com os Princípios da Administração Pública</w:t>
      </w:r>
      <w:r>
        <w:t xml:space="preserve">: A Lei nº 14.133/2021 adota um enfoque moderno na condução das licitações e contratações, levando em consideração os princípios da eficiência, da transparência e da economicidade. Ao dispensar certos requisitos em casos de baixo risco, a Administração busca tornar o processo mais eficiente e ágil, respeitando esses princípios, sem abrir mão da fiscalização rigorosa que deve ser mantida durante a execução do contrato. </w:t>
      </w:r>
    </w:p>
    <w:p w14:paraId="5088FD67" w14:textId="77777777" w:rsidR="004F709F" w:rsidRDefault="004F709F" w:rsidP="00C85F6F">
      <w:pPr>
        <w:spacing w:before="240" w:after="240"/>
        <w:jc w:val="both"/>
      </w:pPr>
      <w:r w:rsidRPr="004F709F">
        <w:rPr>
          <w:b/>
          <w:bCs/>
        </w:rPr>
        <w:t>Flexibilidade e Adequação ao Contexto Econômico</w:t>
      </w:r>
      <w:r>
        <w:t xml:space="preserve">: O contexto econômico atual exige flexibilidade por parte da Administração Pública, especialmente em tempos de dificuldades econômicas e instabilidade financeira. A simplificação de processos licitatórios, por meio da dispensa de certos documentos, pode ser uma estratégia importante para garantir que os recursos públicos sejam aplicados de forma mais rápida e eficiente, especialmente em projetos de menor escala. </w:t>
      </w:r>
    </w:p>
    <w:p w14:paraId="7698B0B4" w14:textId="2A13B163" w:rsidR="004F709F" w:rsidRDefault="004F709F" w:rsidP="00C85F6F">
      <w:pPr>
        <w:spacing w:before="240" w:after="240"/>
        <w:jc w:val="both"/>
        <w:rPr>
          <w:b/>
        </w:rPr>
      </w:pPr>
      <w:r>
        <w:t>Deste modo, a dispensa da exigência de habilitação econômica e financeira no artigo 70 da Lei nº 14.133/2021 é uma medida que visa simplificar e tornar mais acessível a participação de empresas, em especial as microempresas e pequenas empresas, em licitações de menor valor e complexidade. Ao adotar essa abordagem, o município busca reduzir a burocracia e aumentar a competitividade, mantendo a eficiência e a transparência nos processos administrativos.</w:t>
      </w:r>
    </w:p>
    <w:p w14:paraId="0051B115" w14:textId="647B36A4" w:rsidR="00C85F6F" w:rsidRDefault="00C85F6F" w:rsidP="00C85F6F">
      <w:pPr>
        <w:spacing w:before="240" w:after="240"/>
        <w:jc w:val="both"/>
        <w:rPr>
          <w:b/>
        </w:rPr>
      </w:pPr>
      <w:r>
        <w:rPr>
          <w:b/>
        </w:rPr>
        <w:t xml:space="preserve">5. </w:t>
      </w:r>
      <w:r w:rsidRPr="005A0522">
        <w:rPr>
          <w:b/>
        </w:rPr>
        <w:t>ESTIMATIVAS DAS QUANTIDADES PARA A CONTRATAÇÃO</w:t>
      </w:r>
    </w:p>
    <w:p w14:paraId="564C2D1D" w14:textId="4C945460" w:rsidR="002F77EE" w:rsidRDefault="000E36B2" w:rsidP="000E36B2">
      <w:pPr>
        <w:spacing w:before="240" w:after="240"/>
        <w:jc w:val="both"/>
        <w:rPr>
          <w:rFonts w:cs="Times New Roman"/>
        </w:rPr>
      </w:pPr>
      <w:r>
        <w:rPr>
          <w:rFonts w:cs="Times New Roman"/>
        </w:rPr>
        <w:t xml:space="preserve">As quantidades de licenças estão apresentadas no quadro abaixo: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6232"/>
        <w:gridCol w:w="1134"/>
        <w:gridCol w:w="993"/>
      </w:tblGrid>
      <w:tr w:rsidR="00807E00" w:rsidRPr="00161BAF" w14:paraId="31454033" w14:textId="77777777" w:rsidTr="00807E00">
        <w:trPr>
          <w:trHeight w:val="553"/>
          <w:jc w:val="center"/>
        </w:trPr>
        <w:tc>
          <w:tcPr>
            <w:tcW w:w="567" w:type="dxa"/>
            <w:shd w:val="clear" w:color="auto" w:fill="D9D9D9" w:themeFill="background1" w:themeFillShade="D9"/>
            <w:noWrap/>
            <w:vAlign w:val="center"/>
          </w:tcPr>
          <w:p w14:paraId="62A2ECBC" w14:textId="77777777" w:rsidR="00807E00" w:rsidRPr="00161BAF" w:rsidRDefault="00807E00" w:rsidP="008110D6">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Item</w:t>
            </w:r>
          </w:p>
        </w:tc>
        <w:tc>
          <w:tcPr>
            <w:tcW w:w="6232" w:type="dxa"/>
            <w:shd w:val="clear" w:color="auto" w:fill="D9D9D9" w:themeFill="background1" w:themeFillShade="D9"/>
            <w:vAlign w:val="center"/>
          </w:tcPr>
          <w:p w14:paraId="5EBF61FB" w14:textId="77777777" w:rsidR="00807E00" w:rsidRPr="00161BAF" w:rsidRDefault="00807E00" w:rsidP="008110D6">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Descrição</w:t>
            </w:r>
          </w:p>
        </w:tc>
        <w:tc>
          <w:tcPr>
            <w:tcW w:w="1134" w:type="dxa"/>
            <w:shd w:val="clear" w:color="auto" w:fill="D9D9D9" w:themeFill="background1" w:themeFillShade="D9"/>
            <w:vAlign w:val="center"/>
          </w:tcPr>
          <w:p w14:paraId="6F1EB43F" w14:textId="77777777" w:rsidR="00807E00" w:rsidRPr="00161BAF" w:rsidRDefault="00807E00" w:rsidP="008110D6">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kern w:val="0"/>
                <w:sz w:val="20"/>
                <w:szCs w:val="20"/>
                <w:lang w:eastAsia="pt-BR" w:bidi="ar-SA"/>
              </w:rPr>
              <w:t xml:space="preserve">Unidade </w:t>
            </w:r>
          </w:p>
        </w:tc>
        <w:tc>
          <w:tcPr>
            <w:tcW w:w="993" w:type="dxa"/>
            <w:shd w:val="clear" w:color="auto" w:fill="D9D9D9" w:themeFill="background1" w:themeFillShade="D9"/>
            <w:noWrap/>
            <w:vAlign w:val="center"/>
          </w:tcPr>
          <w:p w14:paraId="07F5BB78" w14:textId="77777777" w:rsidR="00807E00" w:rsidRPr="00161BAF" w:rsidRDefault="00807E00" w:rsidP="008110D6">
            <w:pPr>
              <w:widowControl/>
              <w:suppressAutoHyphens w:val="0"/>
              <w:jc w:val="center"/>
              <w:rPr>
                <w:rFonts w:eastAsia="Times New Roman" w:cs="Times New Roman"/>
                <w:b/>
                <w:bCs/>
                <w:color w:val="000000"/>
                <w:sz w:val="20"/>
                <w:szCs w:val="20"/>
                <w:lang w:eastAsia="pt-BR"/>
              </w:rPr>
            </w:pPr>
            <w:r w:rsidRPr="00161BAF">
              <w:rPr>
                <w:rFonts w:eastAsia="Times New Roman" w:cs="Times New Roman"/>
                <w:b/>
                <w:bCs/>
                <w:color w:val="000000"/>
                <w:sz w:val="20"/>
                <w:szCs w:val="20"/>
                <w:lang w:eastAsia="pt-BR"/>
              </w:rPr>
              <w:t>Quant.</w:t>
            </w:r>
          </w:p>
          <w:p w14:paraId="79259154" w14:textId="77777777" w:rsidR="00807E00" w:rsidRPr="00161BAF" w:rsidRDefault="00807E00" w:rsidP="008110D6">
            <w:pPr>
              <w:widowControl/>
              <w:suppressAutoHyphens w:val="0"/>
              <w:jc w:val="center"/>
              <w:rPr>
                <w:rFonts w:eastAsia="Times New Roman" w:cs="Times New Roman"/>
                <w:color w:val="000000"/>
                <w:kern w:val="0"/>
                <w:sz w:val="20"/>
                <w:szCs w:val="20"/>
                <w:lang w:eastAsia="pt-BR" w:bidi="ar-SA"/>
              </w:rPr>
            </w:pPr>
            <w:r w:rsidRPr="00161BAF">
              <w:rPr>
                <w:rFonts w:eastAsia="Times New Roman" w:cs="Times New Roman"/>
                <w:b/>
                <w:bCs/>
                <w:color w:val="000000"/>
                <w:sz w:val="20"/>
                <w:szCs w:val="20"/>
                <w:lang w:eastAsia="pt-BR"/>
              </w:rPr>
              <w:t>Total</w:t>
            </w:r>
          </w:p>
        </w:tc>
      </w:tr>
      <w:tr w:rsidR="00807E00" w:rsidRPr="00161BAF" w14:paraId="76418E7F" w14:textId="77777777" w:rsidTr="00807E00">
        <w:trPr>
          <w:trHeight w:val="57"/>
          <w:jc w:val="center"/>
        </w:trPr>
        <w:tc>
          <w:tcPr>
            <w:tcW w:w="567" w:type="dxa"/>
            <w:shd w:val="clear" w:color="000000" w:fill="FFFFFF"/>
            <w:noWrap/>
            <w:vAlign w:val="center"/>
          </w:tcPr>
          <w:p w14:paraId="44DCCC2E" w14:textId="3A9F91F4" w:rsidR="00807E00" w:rsidRPr="00161BAF" w:rsidRDefault="00807E00" w:rsidP="008110D6">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c>
          <w:tcPr>
            <w:tcW w:w="6232" w:type="dxa"/>
            <w:shd w:val="clear" w:color="000000" w:fill="FFFFFF"/>
            <w:vAlign w:val="center"/>
          </w:tcPr>
          <w:p w14:paraId="257D5BCA" w14:textId="5B1CD36C" w:rsidR="00807E00" w:rsidRPr="00161BAF" w:rsidRDefault="00807E00" w:rsidP="000E36B2">
            <w:pPr>
              <w:widowControl/>
              <w:suppressAutoHyphens w:val="0"/>
              <w:jc w:val="both"/>
              <w:rPr>
                <w:rFonts w:eastAsia="Times New Roman" w:cs="Times New Roman"/>
                <w:color w:val="000000"/>
                <w:kern w:val="0"/>
                <w:sz w:val="20"/>
                <w:szCs w:val="20"/>
                <w:lang w:eastAsia="pt-BR" w:bidi="ar-SA"/>
              </w:rPr>
            </w:pPr>
            <w:r w:rsidRPr="000E36B2">
              <w:rPr>
                <w:rFonts w:eastAsia="Times New Roman" w:cs="Times New Roman"/>
                <w:color w:val="000000"/>
                <w:kern w:val="0"/>
                <w:sz w:val="20"/>
                <w:szCs w:val="20"/>
                <w:lang w:eastAsia="pt-BR" w:bidi="ar-SA"/>
              </w:rPr>
              <w:t>CONTRATAÇÃO DE SERVIÇO DE LICENÇAS DO</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SOFTWARE DE INTELIGÊNCIA ARTIFICIAL</w:t>
            </w:r>
            <w:r>
              <w:rPr>
                <w:rFonts w:eastAsia="Times New Roman" w:cs="Times New Roman"/>
                <w:color w:val="000000"/>
                <w:kern w:val="0"/>
                <w:sz w:val="20"/>
                <w:szCs w:val="20"/>
                <w:lang w:eastAsia="pt-BR" w:bidi="ar-SA"/>
              </w:rPr>
              <w:t>.</w:t>
            </w:r>
          </w:p>
        </w:tc>
        <w:tc>
          <w:tcPr>
            <w:tcW w:w="1134" w:type="dxa"/>
            <w:shd w:val="clear" w:color="000000" w:fill="FFFFFF"/>
            <w:vAlign w:val="center"/>
          </w:tcPr>
          <w:p w14:paraId="553707EF" w14:textId="4C6BE4A2" w:rsidR="00807E00" w:rsidRPr="00161BAF" w:rsidRDefault="00807E00" w:rsidP="008110D6">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Licença</w:t>
            </w:r>
          </w:p>
        </w:tc>
        <w:tc>
          <w:tcPr>
            <w:tcW w:w="993" w:type="dxa"/>
            <w:shd w:val="clear" w:color="000000" w:fill="FFFFFF"/>
            <w:noWrap/>
            <w:vAlign w:val="center"/>
          </w:tcPr>
          <w:p w14:paraId="3B383477" w14:textId="0DCC8562" w:rsidR="00807E00" w:rsidRPr="00161BAF" w:rsidRDefault="00807E00" w:rsidP="008110D6">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2</w:t>
            </w:r>
          </w:p>
        </w:tc>
      </w:tr>
    </w:tbl>
    <w:p w14:paraId="3311270B" w14:textId="074032FB" w:rsidR="00DD1541" w:rsidRDefault="00C85F6F" w:rsidP="00C85F6F">
      <w:pPr>
        <w:spacing w:before="240" w:after="240"/>
        <w:jc w:val="both"/>
        <w:rPr>
          <w:b/>
        </w:rPr>
      </w:pPr>
      <w:r w:rsidRPr="00F5157F">
        <w:rPr>
          <w:b/>
        </w:rPr>
        <w:t>6. LEVANTAMENTO DE MERCADO</w:t>
      </w:r>
    </w:p>
    <w:p w14:paraId="70196C22" w14:textId="77777777" w:rsidR="000E36B2" w:rsidRDefault="000E36B2" w:rsidP="00C85F6F">
      <w:pPr>
        <w:spacing w:before="240" w:after="240"/>
        <w:jc w:val="both"/>
      </w:pPr>
      <w:r>
        <w:t xml:space="preserve">Para atender à necessidade da administração municipal de adotar uma solução de inteligência artificial generativa colaborativa, foi realizado um levantamento técnico de mercado visando identificar e comparar as principais ferramentas disponíveis que ofereçam suporte ao funcionamento diário da administração pública, especialmente nos setores como Gabinete do Prefeito, Secretaria de Indústria e Comércio, Departamento de Licitação e Departamento de Engenharia. Nesse levantamento, foram analisadas três principais soluções disponíveis no mercado: </w:t>
      </w:r>
    </w:p>
    <w:p w14:paraId="7950676F" w14:textId="4EC7DE22" w:rsidR="000E36B2" w:rsidRDefault="000E36B2" w:rsidP="000E36B2">
      <w:pPr>
        <w:pStyle w:val="PargrafodaLista"/>
        <w:numPr>
          <w:ilvl w:val="0"/>
          <w:numId w:val="38"/>
        </w:numPr>
        <w:spacing w:before="240" w:after="240"/>
        <w:jc w:val="both"/>
      </w:pPr>
      <w:r>
        <w:t xml:space="preserve">Solução A: ChatGPT Team (OpenAI) </w:t>
      </w:r>
    </w:p>
    <w:p w14:paraId="51A0D468" w14:textId="2BE01665" w:rsidR="000E36B2" w:rsidRDefault="000E36B2" w:rsidP="000E36B2">
      <w:pPr>
        <w:pStyle w:val="PargrafodaLista"/>
        <w:numPr>
          <w:ilvl w:val="0"/>
          <w:numId w:val="38"/>
        </w:numPr>
        <w:spacing w:before="240" w:after="240"/>
        <w:jc w:val="both"/>
      </w:pPr>
      <w:r>
        <w:lastRenderedPageBreak/>
        <w:t xml:space="preserve">Solução B: Gemini for Workspace (Google) </w:t>
      </w:r>
    </w:p>
    <w:p w14:paraId="19BE90DC" w14:textId="22016DDA" w:rsidR="000E36B2" w:rsidRPr="000E36B2" w:rsidRDefault="000E36B2" w:rsidP="000E36B2">
      <w:pPr>
        <w:pStyle w:val="PargrafodaLista"/>
        <w:numPr>
          <w:ilvl w:val="0"/>
          <w:numId w:val="38"/>
        </w:numPr>
        <w:spacing w:before="240" w:after="240"/>
        <w:jc w:val="both"/>
        <w:rPr>
          <w:rFonts w:cs="Times New Roman"/>
          <w:b/>
        </w:rPr>
      </w:pPr>
      <w:r>
        <w:t>Solução C: Claude Teams (Anthropic)</w:t>
      </w:r>
    </w:p>
    <w:p w14:paraId="0AB88AFE" w14:textId="4DF04B4A" w:rsidR="000E36B2" w:rsidRDefault="000E36B2" w:rsidP="000E36B2">
      <w:pPr>
        <w:spacing w:before="240" w:after="240"/>
        <w:jc w:val="both"/>
        <w:rPr>
          <w:rFonts w:cs="Times New Roman"/>
          <w:bCs/>
        </w:rPr>
      </w:pPr>
      <w:r w:rsidRPr="000E36B2">
        <w:rPr>
          <w:rFonts w:cs="Times New Roman"/>
          <w:bCs/>
        </w:rPr>
        <w:t>Após análise técnica detalhada, foram identificadas diferenças significativas que impactam diretamente a capacidade de atender às demandas da administração pública com eficiência, segurança e produtividade.</w:t>
      </w:r>
    </w:p>
    <w:p w14:paraId="65F50B5B" w14:textId="57E12AA7" w:rsidR="000E36B2" w:rsidRPr="00EF157C" w:rsidRDefault="000E36B2" w:rsidP="000E36B2">
      <w:pPr>
        <w:spacing w:before="240" w:after="240"/>
        <w:jc w:val="both"/>
        <w:rPr>
          <w:b/>
          <w:bCs/>
        </w:rPr>
      </w:pPr>
      <w:r w:rsidRPr="00EF157C">
        <w:rPr>
          <w:b/>
          <w:bCs/>
        </w:rPr>
        <w:t xml:space="preserve">Quanto à estrutura colaborativa multiusuário </w:t>
      </w:r>
    </w:p>
    <w:p w14:paraId="12CB5DE7" w14:textId="77777777" w:rsidR="000E36B2" w:rsidRPr="006D3DCE" w:rsidRDefault="000E36B2" w:rsidP="000E36B2">
      <w:pPr>
        <w:spacing w:before="240" w:after="240"/>
        <w:jc w:val="both"/>
      </w:pPr>
      <w:r w:rsidRPr="006D3DCE">
        <w:t xml:space="preserve">A Solução A – ChatGPT Team oferece uma interface corporativa especialmente voltada à colaboração entre setores, com gerenciamento de equipe, histórico compartilhado, organização por espaços de trabalho e controle de permissões. Cada setor da prefeitura pode atuar em ambiente próprio e ainda colaborar de forma segura com outros departamentos. </w:t>
      </w:r>
    </w:p>
    <w:p w14:paraId="4CC3A28A" w14:textId="77777777" w:rsidR="000E36B2" w:rsidRPr="006D3DCE" w:rsidRDefault="000E36B2" w:rsidP="000E36B2">
      <w:pPr>
        <w:spacing w:before="240" w:after="240"/>
        <w:jc w:val="both"/>
      </w:pPr>
      <w:r w:rsidRPr="006D3DCE">
        <w:t xml:space="preserve">Já a Solução B – Gemini, apesar de integrar com o Google Workspace, não oferece atualmente um sistema nativo com controle de permissões e ambientes de trabalho colaborativos isolados por equipe, limitando a organização por setor. </w:t>
      </w:r>
    </w:p>
    <w:p w14:paraId="03F46FBE" w14:textId="77777777" w:rsidR="000E36B2" w:rsidRPr="006D3DCE" w:rsidRDefault="000E36B2" w:rsidP="000E36B2">
      <w:pPr>
        <w:spacing w:before="240" w:after="240"/>
        <w:jc w:val="both"/>
      </w:pPr>
      <w:r w:rsidRPr="006D3DCE">
        <w:t xml:space="preserve">A Solução C – Claude Teams apresenta boa organização de contas e colaboração, mas ainda está em expansão em recursos corporativos. </w:t>
      </w:r>
    </w:p>
    <w:p w14:paraId="0FB8300B" w14:textId="083F6AE4" w:rsidR="000E36B2" w:rsidRPr="006D3DCE" w:rsidRDefault="000E36B2" w:rsidP="000E36B2">
      <w:pPr>
        <w:spacing w:before="240" w:after="240"/>
        <w:jc w:val="both"/>
        <w:rPr>
          <w:rFonts w:cs="Times New Roman"/>
        </w:rPr>
      </w:pPr>
      <w:r w:rsidRPr="006D3DCE">
        <w:t>Conclusão parcial: ChatGPT Team apresenta a melhor estrutura para uso compartilhado entre setores distintos da administração pública.</w:t>
      </w:r>
    </w:p>
    <w:p w14:paraId="1BAAAB35" w14:textId="742E2EB8" w:rsidR="000E36B2" w:rsidRPr="00EF157C" w:rsidRDefault="000E36B2" w:rsidP="00C85F6F">
      <w:pPr>
        <w:spacing w:before="240" w:after="240"/>
        <w:jc w:val="both"/>
        <w:rPr>
          <w:rFonts w:cs="Times New Roman"/>
          <w:b/>
        </w:rPr>
      </w:pPr>
      <w:r w:rsidRPr="00EF157C">
        <w:rPr>
          <w:rFonts w:cs="Times New Roman"/>
          <w:b/>
        </w:rPr>
        <w:t>Quanto à aplicação prática no serviço público</w:t>
      </w:r>
    </w:p>
    <w:p w14:paraId="75BCDACC" w14:textId="77777777" w:rsidR="000E36B2" w:rsidRPr="006D3DCE" w:rsidRDefault="000E36B2" w:rsidP="00C85F6F">
      <w:pPr>
        <w:spacing w:before="240" w:after="240"/>
        <w:jc w:val="both"/>
      </w:pPr>
      <w:r w:rsidRPr="006D3DCE">
        <w:t xml:space="preserve">A Solução A permite elaboração de documentos técnicos e administrativos com base em modelos prontos e personalizáveis, auxílio na construção de termos de referência, minutas, pareceres, estudos técnicos preliminares e interpretação da Lei 14.133/2021 com precisão. Sua linguagem jurídica, administrativa e técnica é notavelmente mais adaptada ao contexto do setor público. </w:t>
      </w:r>
    </w:p>
    <w:p w14:paraId="3BB41ED1" w14:textId="77777777" w:rsidR="000E36B2" w:rsidRPr="006D3DCE" w:rsidRDefault="000E36B2" w:rsidP="00C85F6F">
      <w:pPr>
        <w:spacing w:before="240" w:after="240"/>
        <w:jc w:val="both"/>
      </w:pPr>
      <w:r w:rsidRPr="006D3DCE">
        <w:t xml:space="preserve">A Solução B se destaca em integração com documentos e planilhas do Google, mas apresenta menor profundidade em linguagem jurídica ou técnica governamental. </w:t>
      </w:r>
    </w:p>
    <w:p w14:paraId="743F94E9" w14:textId="4640B6DD" w:rsidR="000E36B2" w:rsidRPr="006D3DCE" w:rsidRDefault="000E36B2" w:rsidP="00C85F6F">
      <w:pPr>
        <w:spacing w:before="240" w:after="240"/>
        <w:jc w:val="both"/>
      </w:pPr>
      <w:r w:rsidRPr="006D3DCE">
        <w:t xml:space="preserve">A Solução C, embora robusta em linguagem natural, apresenta desempenho inferior na estruturação de documentos conforme normas brasileiras. </w:t>
      </w:r>
    </w:p>
    <w:p w14:paraId="3E936D0B" w14:textId="6922B9D2" w:rsidR="000E36B2" w:rsidRPr="006D3DCE" w:rsidRDefault="000E36B2" w:rsidP="00C85F6F">
      <w:pPr>
        <w:spacing w:before="240" w:after="240"/>
        <w:jc w:val="both"/>
        <w:rPr>
          <w:rFonts w:cs="Times New Roman"/>
        </w:rPr>
      </w:pPr>
      <w:r w:rsidRPr="006D3DCE">
        <w:t>Conclusão parcial: ChatGPT Team demonstra maior maturidade para aplicação direta em rotinas administrativas públicas, especialmente em temas jurídicos, legislativos e contratuais.</w:t>
      </w:r>
    </w:p>
    <w:p w14:paraId="3956DD86" w14:textId="2AC331D2" w:rsidR="000E36B2" w:rsidRPr="00EF157C" w:rsidRDefault="000E36B2" w:rsidP="00C85F6F">
      <w:pPr>
        <w:spacing w:before="240" w:after="240"/>
        <w:jc w:val="both"/>
        <w:rPr>
          <w:b/>
          <w:bCs/>
        </w:rPr>
      </w:pPr>
      <w:r w:rsidRPr="00EF157C">
        <w:rPr>
          <w:b/>
          <w:bCs/>
        </w:rPr>
        <w:t xml:space="preserve">Quanto à segurança e proteção de dados </w:t>
      </w:r>
    </w:p>
    <w:p w14:paraId="60B9B2A7" w14:textId="77777777" w:rsidR="000E36B2" w:rsidRPr="006D3DCE" w:rsidRDefault="000E36B2" w:rsidP="00C85F6F">
      <w:pPr>
        <w:spacing w:before="240" w:after="240"/>
        <w:jc w:val="both"/>
      </w:pPr>
      <w:r w:rsidRPr="006D3DCE">
        <w:t xml:space="preserve">O ChatGPT Team possui ambiente corporativo isolado, com criptografia de ponta a ponta, autenticação em dois fatores (2FA) e controle administrativo completo sobre acessos, em conformidade com a LGPD e outras normas internacionais de segurança. </w:t>
      </w:r>
    </w:p>
    <w:p w14:paraId="7310E417" w14:textId="77777777" w:rsidR="000E36B2" w:rsidRPr="006D3DCE" w:rsidRDefault="000E36B2" w:rsidP="00C85F6F">
      <w:pPr>
        <w:spacing w:before="240" w:after="240"/>
        <w:jc w:val="both"/>
      </w:pPr>
      <w:r w:rsidRPr="006D3DCE">
        <w:t xml:space="preserve">A solução Gemini depende da estrutura do Google Workspace, cuja gestão de segurança depende da configuração da conta institucional. </w:t>
      </w:r>
    </w:p>
    <w:p w14:paraId="4A5A3341" w14:textId="77777777" w:rsidR="000E36B2" w:rsidRPr="006D3DCE" w:rsidRDefault="000E36B2" w:rsidP="00C85F6F">
      <w:pPr>
        <w:spacing w:before="240" w:after="240"/>
        <w:jc w:val="both"/>
      </w:pPr>
      <w:r w:rsidRPr="006D3DCE">
        <w:lastRenderedPageBreak/>
        <w:t xml:space="preserve">O Claude Teams ainda apresenta limitações em segurança granular de acesso e recursos voltados a ambientes públicos regulamentados. </w:t>
      </w:r>
    </w:p>
    <w:p w14:paraId="5FE3F9AD" w14:textId="6A0B30C0" w:rsidR="000E36B2" w:rsidRPr="006D3DCE" w:rsidRDefault="000E36B2" w:rsidP="00C85F6F">
      <w:pPr>
        <w:spacing w:before="240" w:after="240"/>
        <w:jc w:val="both"/>
      </w:pPr>
      <w:r w:rsidRPr="006D3DCE">
        <w:t>Conclusão parcial: ChatGPT Team oferece maior robustez e confiabilidade para ambientes públicos que manipulam dados sensíveis e precisam de segregação de funções.</w:t>
      </w:r>
    </w:p>
    <w:p w14:paraId="0BF326AA" w14:textId="1D5B0B33" w:rsidR="00EF157C" w:rsidRPr="00EF157C" w:rsidRDefault="00EF157C" w:rsidP="00C85F6F">
      <w:pPr>
        <w:spacing w:before="240" w:after="240"/>
        <w:jc w:val="both"/>
        <w:rPr>
          <w:b/>
          <w:bCs/>
        </w:rPr>
      </w:pPr>
      <w:r w:rsidRPr="00EF157C">
        <w:rPr>
          <w:b/>
          <w:bCs/>
        </w:rPr>
        <w:t xml:space="preserve">Quanto ao suporte técnico e atualizações </w:t>
      </w:r>
    </w:p>
    <w:p w14:paraId="084199B1" w14:textId="77777777" w:rsidR="00EF157C" w:rsidRPr="006D3DCE" w:rsidRDefault="00EF157C" w:rsidP="00C85F6F">
      <w:pPr>
        <w:spacing w:before="240" w:after="240"/>
        <w:jc w:val="both"/>
      </w:pPr>
      <w:r w:rsidRPr="006D3DCE">
        <w:t xml:space="preserve">A plataforma da OpenAI oferece atualizações constantes e automáticas sem interrupção do serviço, com suporte técnico dedicado e canal oficial para clientes corporativos. A interface é responsiva, em português e pronta para uso por equipes sem conhecimento técnico avançado. </w:t>
      </w:r>
    </w:p>
    <w:p w14:paraId="5E057B0E" w14:textId="77777777" w:rsidR="00EF157C" w:rsidRPr="006D3DCE" w:rsidRDefault="00EF157C" w:rsidP="00C85F6F">
      <w:pPr>
        <w:spacing w:before="240" w:after="240"/>
        <w:jc w:val="both"/>
      </w:pPr>
      <w:r w:rsidRPr="006D3DCE">
        <w:t xml:space="preserve">Gemini e Claude oferecem atualizações regulares, mas não possuem suporte especializado exclusivo para ambientes públicos brasileiros, nem canais dedicados para necessidades regulatórias ou adaptações locais. </w:t>
      </w:r>
    </w:p>
    <w:p w14:paraId="53A32963" w14:textId="57B1E0AF" w:rsidR="000E36B2" w:rsidRPr="006D3DCE" w:rsidRDefault="00EF157C" w:rsidP="00C85F6F">
      <w:pPr>
        <w:spacing w:before="240" w:after="240"/>
        <w:jc w:val="both"/>
        <w:rPr>
          <w:rFonts w:cs="Times New Roman"/>
        </w:rPr>
      </w:pPr>
      <w:r w:rsidRPr="006D3DCE">
        <w:t>Conclusão parcial: O suporte e a frequência de atualização da solução da OpenAI são mais alinhados às exigências da administração pública brasileira.</w:t>
      </w:r>
    </w:p>
    <w:p w14:paraId="68ED33A4" w14:textId="48C96910" w:rsidR="00EF157C" w:rsidRPr="00EF157C" w:rsidRDefault="00EF157C" w:rsidP="00C85F6F">
      <w:pPr>
        <w:spacing w:before="240" w:after="240"/>
        <w:jc w:val="both"/>
        <w:rPr>
          <w:b/>
          <w:bCs/>
        </w:rPr>
      </w:pPr>
      <w:r w:rsidRPr="00EF157C">
        <w:rPr>
          <w:b/>
          <w:bCs/>
        </w:rPr>
        <w:t xml:space="preserve">Quanto à adaptabilidade e capacidade técnica </w:t>
      </w:r>
    </w:p>
    <w:p w14:paraId="2A8DA9E3" w14:textId="77777777" w:rsidR="00EF157C" w:rsidRPr="006D3DCE" w:rsidRDefault="00EF157C" w:rsidP="00C85F6F">
      <w:pPr>
        <w:spacing w:before="240" w:after="240"/>
        <w:jc w:val="both"/>
      </w:pPr>
      <w:r w:rsidRPr="006D3DCE">
        <w:t xml:space="preserve">A Solução A – ChatGPT Team permite adaptação ao estilo institucional, continuidade de contexto em conversas prolongadas, criação de prompts personalizados, bots internos, análise de projetos e geração de relatórios automatizados. </w:t>
      </w:r>
    </w:p>
    <w:p w14:paraId="03011C51" w14:textId="77777777" w:rsidR="00EF157C" w:rsidRPr="006D3DCE" w:rsidRDefault="00EF157C" w:rsidP="00C85F6F">
      <w:pPr>
        <w:spacing w:before="240" w:after="240"/>
        <w:jc w:val="both"/>
      </w:pPr>
      <w:r w:rsidRPr="006D3DCE">
        <w:t xml:space="preserve">Gemini oferece suporte básico à continuidade e personalização, mas com menor profundidade em fluxos específicos. </w:t>
      </w:r>
    </w:p>
    <w:p w14:paraId="3652F4C6" w14:textId="77777777" w:rsidR="00EF157C" w:rsidRPr="006D3DCE" w:rsidRDefault="00EF157C" w:rsidP="00C85F6F">
      <w:pPr>
        <w:spacing w:before="240" w:after="240"/>
        <w:jc w:val="both"/>
      </w:pPr>
      <w:r w:rsidRPr="006D3DCE">
        <w:t xml:space="preserve">Claude possui forte capacidade de análise textual, mas carece de integração com múltiplas tarefas administrativas. </w:t>
      </w:r>
    </w:p>
    <w:p w14:paraId="1A2C9856" w14:textId="5CA80EF7" w:rsidR="000E36B2" w:rsidRPr="006D3DCE" w:rsidRDefault="00EF157C" w:rsidP="00C85F6F">
      <w:pPr>
        <w:spacing w:before="240" w:after="240"/>
        <w:jc w:val="both"/>
        <w:rPr>
          <w:rFonts w:cs="Times New Roman"/>
        </w:rPr>
      </w:pPr>
      <w:r w:rsidRPr="006D3DCE">
        <w:t>Conclusão parcial: ChatGPT Team oferece o melhor conjunto de ferramentas adaptáveis e aplicáveis à realidade de um governo municipal moderno.</w:t>
      </w:r>
    </w:p>
    <w:p w14:paraId="2199F304" w14:textId="71D053DD" w:rsidR="000E36B2" w:rsidRDefault="00EF157C" w:rsidP="00C85F6F">
      <w:pPr>
        <w:spacing w:before="240" w:after="240"/>
        <w:jc w:val="both"/>
        <w:rPr>
          <w:rFonts w:cs="Times New Roman"/>
          <w:b/>
        </w:rPr>
      </w:pPr>
      <w:r w:rsidRPr="00EF157C">
        <w:rPr>
          <w:rFonts w:cs="Times New Roman"/>
          <w:b/>
        </w:rPr>
        <w:t>Quanto à integração com legislações e normas brasileiras</w:t>
      </w:r>
    </w:p>
    <w:p w14:paraId="64A93AFF" w14:textId="77777777" w:rsidR="00EF157C" w:rsidRPr="006D3DCE" w:rsidRDefault="00EF157C" w:rsidP="00C85F6F">
      <w:pPr>
        <w:spacing w:before="240" w:after="240"/>
        <w:jc w:val="both"/>
      </w:pPr>
      <w:r w:rsidRPr="006D3DCE">
        <w:t xml:space="preserve">O modelo da OpenAI tem maior compatibilidade com vocabulário jurídico, normativo e técnico brasileiro, incluindo compreensão da Lei nº 14.133/2021, normas de engenharia pública, prestação de contas e outros dispositivos regulatórios aplicáveis à administração direta. </w:t>
      </w:r>
    </w:p>
    <w:p w14:paraId="50158FFB" w14:textId="77777777" w:rsidR="00EF157C" w:rsidRPr="006D3DCE" w:rsidRDefault="00EF157C" w:rsidP="00C85F6F">
      <w:pPr>
        <w:spacing w:before="240" w:after="240"/>
        <w:jc w:val="both"/>
      </w:pPr>
      <w:r w:rsidRPr="006D3DCE">
        <w:t xml:space="preserve">Gemini e Claude ainda não apresentam contextualização legal e normativa nacional com a mesma profundidade. </w:t>
      </w:r>
    </w:p>
    <w:p w14:paraId="5480EEF5" w14:textId="4B4924CC" w:rsidR="00EF157C" w:rsidRPr="006D3DCE" w:rsidRDefault="00EF157C" w:rsidP="00C85F6F">
      <w:pPr>
        <w:spacing w:before="240" w:after="240"/>
        <w:jc w:val="both"/>
      </w:pPr>
      <w:r w:rsidRPr="006D3DCE">
        <w:t>Conclusão parcial: ChatGPT Team é a solução que melhor compreende e aplica os marcos legais nacionais vigentes.</w:t>
      </w:r>
    </w:p>
    <w:p w14:paraId="29E88BE7" w14:textId="602E494F" w:rsidR="00EF157C" w:rsidRPr="00EF157C" w:rsidRDefault="00EF157C" w:rsidP="00C85F6F">
      <w:pPr>
        <w:spacing w:before="240" w:after="240"/>
        <w:jc w:val="both"/>
        <w:rPr>
          <w:b/>
          <w:bCs/>
        </w:rPr>
      </w:pPr>
      <w:r w:rsidRPr="00EF157C">
        <w:rPr>
          <w:b/>
          <w:bCs/>
        </w:rPr>
        <w:t xml:space="preserve">Conclusão Geral </w:t>
      </w:r>
    </w:p>
    <w:p w14:paraId="74E1E385" w14:textId="77777777" w:rsidR="00EF157C" w:rsidRPr="006D3DCE" w:rsidRDefault="00EF157C" w:rsidP="00C85F6F">
      <w:pPr>
        <w:spacing w:before="240" w:after="240"/>
        <w:jc w:val="both"/>
      </w:pPr>
      <w:r w:rsidRPr="006D3DCE">
        <w:t xml:space="preserve">Diante da análise técnica realizada, conclui-se que a Solução A – ChatGPT Team é a que melhor atende às necessidades da administração pública municipal. Suas vantagens incluem: </w:t>
      </w:r>
    </w:p>
    <w:p w14:paraId="412987F5" w14:textId="3F5F1E83" w:rsidR="00EF157C" w:rsidRPr="006D3DCE" w:rsidRDefault="00EF157C" w:rsidP="00EF157C">
      <w:pPr>
        <w:pStyle w:val="PargrafodaLista"/>
        <w:numPr>
          <w:ilvl w:val="0"/>
          <w:numId w:val="39"/>
        </w:numPr>
        <w:spacing w:before="240" w:after="240"/>
        <w:jc w:val="both"/>
      </w:pPr>
      <w:r w:rsidRPr="006D3DCE">
        <w:lastRenderedPageBreak/>
        <w:t xml:space="preserve">Estrutura colaborativa ideal para múltiplos departamentos; </w:t>
      </w:r>
    </w:p>
    <w:p w14:paraId="1088BA1A" w14:textId="3F22640D" w:rsidR="00EF157C" w:rsidRPr="006D3DCE" w:rsidRDefault="00EF157C" w:rsidP="00EF157C">
      <w:pPr>
        <w:pStyle w:val="PargrafodaLista"/>
        <w:numPr>
          <w:ilvl w:val="0"/>
          <w:numId w:val="39"/>
        </w:numPr>
        <w:spacing w:before="240" w:after="240"/>
        <w:jc w:val="both"/>
      </w:pPr>
      <w:r w:rsidRPr="006D3DCE">
        <w:t xml:space="preserve">Alto desempenho em produção de conteúdo técnico, jurídico e administrativo; </w:t>
      </w:r>
    </w:p>
    <w:p w14:paraId="613F3160" w14:textId="2565261C" w:rsidR="00EF157C" w:rsidRPr="006D3DCE" w:rsidRDefault="00EF157C" w:rsidP="00EF157C">
      <w:pPr>
        <w:pStyle w:val="PargrafodaLista"/>
        <w:numPr>
          <w:ilvl w:val="0"/>
          <w:numId w:val="39"/>
        </w:numPr>
        <w:spacing w:before="240" w:after="240"/>
        <w:jc w:val="both"/>
      </w:pPr>
      <w:r w:rsidRPr="006D3DCE">
        <w:t xml:space="preserve">Segurança robusta e conformidade com a LGPD; </w:t>
      </w:r>
    </w:p>
    <w:p w14:paraId="1C25525F" w14:textId="3473BC6A" w:rsidR="00EF157C" w:rsidRPr="006D3DCE" w:rsidRDefault="00EF157C" w:rsidP="00EF157C">
      <w:pPr>
        <w:pStyle w:val="PargrafodaLista"/>
        <w:numPr>
          <w:ilvl w:val="0"/>
          <w:numId w:val="39"/>
        </w:numPr>
        <w:spacing w:before="240" w:after="240"/>
        <w:jc w:val="both"/>
      </w:pPr>
      <w:r w:rsidRPr="006D3DCE">
        <w:t xml:space="preserve">Interface intuitiva e suporte técnico especializado; </w:t>
      </w:r>
    </w:p>
    <w:p w14:paraId="497DA2E0" w14:textId="571009D8" w:rsidR="00EF157C" w:rsidRPr="006D3DCE" w:rsidRDefault="00EF157C" w:rsidP="00EF157C">
      <w:pPr>
        <w:pStyle w:val="PargrafodaLista"/>
        <w:numPr>
          <w:ilvl w:val="0"/>
          <w:numId w:val="39"/>
        </w:numPr>
        <w:spacing w:before="240" w:after="240"/>
        <w:jc w:val="both"/>
      </w:pPr>
      <w:r w:rsidRPr="006D3DCE">
        <w:t xml:space="preserve">Capacidade de adaptação à realidade normativa e institucional brasileira; </w:t>
      </w:r>
    </w:p>
    <w:p w14:paraId="2EC7BB09" w14:textId="1D568D6B" w:rsidR="00EF157C" w:rsidRPr="006D3DCE" w:rsidRDefault="00EF157C" w:rsidP="00EF157C">
      <w:pPr>
        <w:pStyle w:val="PargrafodaLista"/>
        <w:numPr>
          <w:ilvl w:val="0"/>
          <w:numId w:val="39"/>
        </w:numPr>
        <w:spacing w:before="240" w:after="240"/>
        <w:jc w:val="both"/>
      </w:pPr>
      <w:r w:rsidRPr="006D3DCE">
        <w:t xml:space="preserve">Eficiência comprovada em rotinas públicas estratégicas e operacionais. </w:t>
      </w:r>
    </w:p>
    <w:p w14:paraId="7A55EE44" w14:textId="73DE35ED" w:rsidR="00EF157C" w:rsidRPr="006D3DCE" w:rsidRDefault="00EF157C" w:rsidP="00C85F6F">
      <w:pPr>
        <w:spacing w:before="240" w:after="240"/>
        <w:jc w:val="both"/>
        <w:rPr>
          <w:rFonts w:cs="Times New Roman"/>
        </w:rPr>
      </w:pPr>
      <w:r w:rsidRPr="006D3DCE">
        <w:t>Portanto, recomenda-se a contratação da solução ChatGPT Team como a alternativa mais eficaz, segura e produtiva para a modernização da gestão administrativa do município, assegurando economicidade.</w:t>
      </w:r>
    </w:p>
    <w:p w14:paraId="1FAC7FA8" w14:textId="3EC80D15" w:rsidR="00C85F6F" w:rsidRPr="007A0603" w:rsidRDefault="00C85F6F" w:rsidP="00C85F6F">
      <w:pPr>
        <w:spacing w:before="240" w:after="240"/>
        <w:jc w:val="both"/>
        <w:rPr>
          <w:rFonts w:cs="Times New Roman"/>
          <w:b/>
        </w:rPr>
      </w:pPr>
      <w:r w:rsidRPr="009D1AAD">
        <w:rPr>
          <w:rFonts w:cs="Times New Roman"/>
          <w:b/>
        </w:rPr>
        <w:t>7. ESTIMATIVA PRELIMINAR DO VALOR DA CONTRATAÇÃO</w:t>
      </w:r>
    </w:p>
    <w:p w14:paraId="63DD4A75" w14:textId="4A9492DD" w:rsidR="00532EBA" w:rsidRPr="00532EBA" w:rsidRDefault="00EF157C" w:rsidP="00EF157C">
      <w:pPr>
        <w:spacing w:before="240" w:after="240"/>
        <w:jc w:val="both"/>
        <w:rPr>
          <w:b/>
        </w:rPr>
      </w:pPr>
      <w:r w:rsidRPr="00EF157C">
        <w:t xml:space="preserve">A pesquisa acima foi realizada apenas como uma forma de estimativa para prever os gastos com a demanda. Porém, a pesquisa mais minuciosa, no qual será definido o valor de referência para abertura do presente processo de </w:t>
      </w:r>
      <w:r>
        <w:t>contratação pública</w:t>
      </w:r>
      <w:r w:rsidRPr="00EF157C">
        <w:t xml:space="preserve">, será realizada pelo </w:t>
      </w:r>
      <w:r>
        <w:t>Setor de Compras</w:t>
      </w:r>
      <w:r w:rsidRPr="00EF157C">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851"/>
        <w:gridCol w:w="3680"/>
        <w:gridCol w:w="1074"/>
        <w:gridCol w:w="850"/>
        <w:gridCol w:w="1195"/>
        <w:gridCol w:w="1134"/>
      </w:tblGrid>
      <w:tr w:rsidR="00EF157C" w:rsidRPr="00161BAF" w14:paraId="44134D92" w14:textId="73DDF241" w:rsidTr="00EF157C">
        <w:trPr>
          <w:trHeight w:val="553"/>
          <w:jc w:val="center"/>
        </w:trPr>
        <w:tc>
          <w:tcPr>
            <w:tcW w:w="567" w:type="dxa"/>
            <w:shd w:val="clear" w:color="auto" w:fill="D9D9D9" w:themeFill="background1" w:themeFillShade="D9"/>
            <w:noWrap/>
            <w:vAlign w:val="center"/>
          </w:tcPr>
          <w:p w14:paraId="5FD852EF" w14:textId="77777777" w:rsidR="00EF157C" w:rsidRPr="00161BAF" w:rsidRDefault="00EF157C" w:rsidP="005C5F36">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Item</w:t>
            </w:r>
          </w:p>
        </w:tc>
        <w:tc>
          <w:tcPr>
            <w:tcW w:w="851" w:type="dxa"/>
            <w:shd w:val="clear" w:color="auto" w:fill="D9D9D9" w:themeFill="background1" w:themeFillShade="D9"/>
            <w:noWrap/>
            <w:vAlign w:val="center"/>
          </w:tcPr>
          <w:p w14:paraId="08F28BBF" w14:textId="77777777" w:rsidR="00EF157C" w:rsidRPr="00161BAF" w:rsidRDefault="00EF157C" w:rsidP="005C5F36">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Código</w:t>
            </w:r>
          </w:p>
        </w:tc>
        <w:tc>
          <w:tcPr>
            <w:tcW w:w="3680" w:type="dxa"/>
            <w:shd w:val="clear" w:color="auto" w:fill="D9D9D9" w:themeFill="background1" w:themeFillShade="D9"/>
            <w:vAlign w:val="center"/>
          </w:tcPr>
          <w:p w14:paraId="5BE7C799" w14:textId="77777777" w:rsidR="00EF157C" w:rsidRPr="00161BAF" w:rsidRDefault="00EF157C" w:rsidP="005C5F36">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Descrição</w:t>
            </w:r>
          </w:p>
        </w:tc>
        <w:tc>
          <w:tcPr>
            <w:tcW w:w="1074" w:type="dxa"/>
            <w:shd w:val="clear" w:color="auto" w:fill="D9D9D9" w:themeFill="background1" w:themeFillShade="D9"/>
            <w:vAlign w:val="center"/>
          </w:tcPr>
          <w:p w14:paraId="65E10EAC" w14:textId="77777777" w:rsidR="00EF157C" w:rsidRPr="00161BAF" w:rsidRDefault="00EF157C" w:rsidP="005C5F36">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kern w:val="0"/>
                <w:sz w:val="20"/>
                <w:szCs w:val="20"/>
                <w:lang w:eastAsia="pt-BR" w:bidi="ar-SA"/>
              </w:rPr>
              <w:t xml:space="preserve">Unidade </w:t>
            </w:r>
          </w:p>
        </w:tc>
        <w:tc>
          <w:tcPr>
            <w:tcW w:w="850" w:type="dxa"/>
            <w:shd w:val="clear" w:color="auto" w:fill="D9D9D9" w:themeFill="background1" w:themeFillShade="D9"/>
            <w:noWrap/>
            <w:vAlign w:val="center"/>
          </w:tcPr>
          <w:p w14:paraId="05FCD160" w14:textId="77777777" w:rsidR="00EF157C" w:rsidRPr="00161BAF" w:rsidRDefault="00EF157C" w:rsidP="005C5F36">
            <w:pPr>
              <w:widowControl/>
              <w:suppressAutoHyphens w:val="0"/>
              <w:jc w:val="center"/>
              <w:rPr>
                <w:rFonts w:eastAsia="Times New Roman" w:cs="Times New Roman"/>
                <w:b/>
                <w:bCs/>
                <w:color w:val="000000"/>
                <w:sz w:val="20"/>
                <w:szCs w:val="20"/>
                <w:lang w:eastAsia="pt-BR"/>
              </w:rPr>
            </w:pPr>
            <w:r w:rsidRPr="00161BAF">
              <w:rPr>
                <w:rFonts w:eastAsia="Times New Roman" w:cs="Times New Roman"/>
                <w:b/>
                <w:bCs/>
                <w:color w:val="000000"/>
                <w:sz w:val="20"/>
                <w:szCs w:val="20"/>
                <w:lang w:eastAsia="pt-BR"/>
              </w:rPr>
              <w:t>Quant.</w:t>
            </w:r>
          </w:p>
          <w:p w14:paraId="4EF91123" w14:textId="77777777" w:rsidR="00EF157C" w:rsidRPr="00161BAF" w:rsidRDefault="00EF157C" w:rsidP="005C5F36">
            <w:pPr>
              <w:widowControl/>
              <w:suppressAutoHyphens w:val="0"/>
              <w:jc w:val="center"/>
              <w:rPr>
                <w:rFonts w:eastAsia="Times New Roman" w:cs="Times New Roman"/>
                <w:color w:val="000000"/>
                <w:kern w:val="0"/>
                <w:sz w:val="20"/>
                <w:szCs w:val="20"/>
                <w:lang w:eastAsia="pt-BR" w:bidi="ar-SA"/>
              </w:rPr>
            </w:pPr>
            <w:r w:rsidRPr="00161BAF">
              <w:rPr>
                <w:rFonts w:eastAsia="Times New Roman" w:cs="Times New Roman"/>
                <w:b/>
                <w:bCs/>
                <w:color w:val="000000"/>
                <w:sz w:val="20"/>
                <w:szCs w:val="20"/>
                <w:lang w:eastAsia="pt-BR"/>
              </w:rPr>
              <w:t>Total</w:t>
            </w:r>
          </w:p>
        </w:tc>
        <w:tc>
          <w:tcPr>
            <w:tcW w:w="1195" w:type="dxa"/>
            <w:shd w:val="clear" w:color="auto" w:fill="D9D9D9" w:themeFill="background1" w:themeFillShade="D9"/>
            <w:vAlign w:val="center"/>
          </w:tcPr>
          <w:p w14:paraId="34A00B35" w14:textId="233D4D64" w:rsidR="00EF157C" w:rsidRPr="00161BAF" w:rsidRDefault="00EF157C" w:rsidP="00EF157C">
            <w:pPr>
              <w:widowControl/>
              <w:suppressAutoHyphens w:val="0"/>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Unitário</w:t>
            </w:r>
          </w:p>
        </w:tc>
        <w:tc>
          <w:tcPr>
            <w:tcW w:w="1134" w:type="dxa"/>
            <w:shd w:val="clear" w:color="auto" w:fill="D9D9D9" w:themeFill="background1" w:themeFillShade="D9"/>
            <w:vAlign w:val="center"/>
          </w:tcPr>
          <w:p w14:paraId="24A3A9EA" w14:textId="4B5EBB21" w:rsidR="00EF157C" w:rsidRPr="00161BAF" w:rsidRDefault="00EF157C" w:rsidP="00EF157C">
            <w:pPr>
              <w:widowControl/>
              <w:suppressAutoHyphens w:val="0"/>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Total</w:t>
            </w:r>
          </w:p>
        </w:tc>
      </w:tr>
      <w:tr w:rsidR="00EF157C" w:rsidRPr="00161BAF" w14:paraId="36AA83A5" w14:textId="35BA4B0D" w:rsidTr="00EF157C">
        <w:trPr>
          <w:trHeight w:val="57"/>
          <w:jc w:val="center"/>
        </w:trPr>
        <w:tc>
          <w:tcPr>
            <w:tcW w:w="567" w:type="dxa"/>
            <w:shd w:val="clear" w:color="000000" w:fill="FFFFFF"/>
            <w:noWrap/>
            <w:vAlign w:val="center"/>
          </w:tcPr>
          <w:p w14:paraId="3393BC6C" w14:textId="77777777" w:rsidR="00EF157C" w:rsidRPr="00161BAF" w:rsidRDefault="00EF157C" w:rsidP="005C5F36">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c>
          <w:tcPr>
            <w:tcW w:w="851" w:type="dxa"/>
            <w:shd w:val="clear" w:color="000000" w:fill="FFFFFF"/>
            <w:noWrap/>
            <w:vAlign w:val="center"/>
          </w:tcPr>
          <w:p w14:paraId="45B041AB" w14:textId="77777777" w:rsidR="00EF157C" w:rsidRPr="00161BAF" w:rsidRDefault="00EF157C" w:rsidP="005C5F36">
            <w:pPr>
              <w:widowControl/>
              <w:suppressAutoHyphens w:val="0"/>
              <w:jc w:val="center"/>
              <w:rPr>
                <w:rFonts w:eastAsia="Times New Roman"/>
                <w:color w:val="000000"/>
                <w:sz w:val="20"/>
                <w:szCs w:val="20"/>
                <w:lang w:eastAsia="pt-BR"/>
              </w:rPr>
            </w:pPr>
            <w:r w:rsidRPr="000E36B2">
              <w:rPr>
                <w:rFonts w:eastAsia="Times New Roman"/>
                <w:color w:val="000000"/>
                <w:sz w:val="20"/>
                <w:szCs w:val="20"/>
                <w:lang w:eastAsia="pt-BR"/>
              </w:rPr>
              <w:t>2045259</w:t>
            </w:r>
          </w:p>
        </w:tc>
        <w:tc>
          <w:tcPr>
            <w:tcW w:w="3680" w:type="dxa"/>
            <w:shd w:val="clear" w:color="000000" w:fill="FFFFFF"/>
            <w:vAlign w:val="center"/>
          </w:tcPr>
          <w:p w14:paraId="15D40D13" w14:textId="77777777" w:rsidR="00EF157C" w:rsidRPr="00161BAF" w:rsidRDefault="00EF157C" w:rsidP="005C5F36">
            <w:pPr>
              <w:widowControl/>
              <w:suppressAutoHyphens w:val="0"/>
              <w:jc w:val="both"/>
              <w:rPr>
                <w:rFonts w:eastAsia="Times New Roman" w:cs="Times New Roman"/>
                <w:color w:val="000000"/>
                <w:kern w:val="0"/>
                <w:sz w:val="20"/>
                <w:szCs w:val="20"/>
                <w:lang w:eastAsia="pt-BR" w:bidi="ar-SA"/>
              </w:rPr>
            </w:pPr>
            <w:r w:rsidRPr="000E36B2">
              <w:rPr>
                <w:rFonts w:eastAsia="Times New Roman" w:cs="Times New Roman"/>
                <w:color w:val="000000"/>
                <w:kern w:val="0"/>
                <w:sz w:val="20"/>
                <w:szCs w:val="20"/>
                <w:lang w:eastAsia="pt-BR" w:bidi="ar-SA"/>
              </w:rPr>
              <w:t>SERVICO DE TECNOLOGIA DA INFORMACAO E COMUNICACAO - SERVICO DE SUBSCRICAO DE LICENCAS DO CHATGPT 5.0 TEAMS BUSINESS DESENVOLVIDA PELA OPENAL</w:t>
            </w:r>
            <w:r>
              <w:rPr>
                <w:rFonts w:eastAsia="Times New Roman" w:cs="Times New Roman"/>
                <w:color w:val="000000"/>
                <w:kern w:val="0"/>
                <w:sz w:val="20"/>
                <w:szCs w:val="20"/>
                <w:lang w:eastAsia="pt-BR" w:bidi="ar-SA"/>
              </w:rPr>
              <w:t xml:space="preserve">. OBS: </w:t>
            </w:r>
            <w:r w:rsidRPr="000E36B2">
              <w:rPr>
                <w:rFonts w:eastAsia="Times New Roman" w:cs="Times New Roman"/>
                <w:color w:val="000000"/>
                <w:kern w:val="0"/>
                <w:sz w:val="20"/>
                <w:szCs w:val="20"/>
                <w:lang w:eastAsia="pt-BR" w:bidi="ar-SA"/>
              </w:rPr>
              <w:t>Contratação de serviço de licenças do</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software de Inteligência Artificial</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ChatGPT-5.0 Teams/Business por 12</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meses.</w:t>
            </w:r>
          </w:p>
        </w:tc>
        <w:tc>
          <w:tcPr>
            <w:tcW w:w="1074" w:type="dxa"/>
            <w:shd w:val="clear" w:color="000000" w:fill="FFFFFF"/>
            <w:vAlign w:val="center"/>
          </w:tcPr>
          <w:p w14:paraId="03063E1D" w14:textId="77777777" w:rsidR="00EF157C" w:rsidRPr="00161BAF" w:rsidRDefault="00EF157C" w:rsidP="005C5F36">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Licença</w:t>
            </w:r>
          </w:p>
        </w:tc>
        <w:tc>
          <w:tcPr>
            <w:tcW w:w="850" w:type="dxa"/>
            <w:shd w:val="clear" w:color="000000" w:fill="FFFFFF"/>
            <w:noWrap/>
            <w:vAlign w:val="center"/>
          </w:tcPr>
          <w:p w14:paraId="21899875" w14:textId="77777777" w:rsidR="00EF157C" w:rsidRPr="00161BAF" w:rsidRDefault="00EF157C" w:rsidP="005C5F36">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2</w:t>
            </w:r>
          </w:p>
        </w:tc>
        <w:tc>
          <w:tcPr>
            <w:tcW w:w="1195" w:type="dxa"/>
            <w:shd w:val="clear" w:color="000000" w:fill="FFFFFF"/>
            <w:vAlign w:val="center"/>
          </w:tcPr>
          <w:p w14:paraId="35D59469" w14:textId="364B187D" w:rsidR="00EF157C" w:rsidRDefault="00EF157C" w:rsidP="00EF157C">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R$ 2.087,00</w:t>
            </w:r>
          </w:p>
        </w:tc>
        <w:tc>
          <w:tcPr>
            <w:tcW w:w="1134" w:type="dxa"/>
            <w:shd w:val="clear" w:color="000000" w:fill="FFFFFF"/>
            <w:vAlign w:val="center"/>
          </w:tcPr>
          <w:p w14:paraId="46DE11C8" w14:textId="4EC35401" w:rsidR="00EF157C" w:rsidRDefault="00EF157C" w:rsidP="00EF157C">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R$ 4.174,00</w:t>
            </w:r>
          </w:p>
        </w:tc>
      </w:tr>
    </w:tbl>
    <w:p w14:paraId="28A8564E" w14:textId="6CFFAE3C" w:rsidR="00EF157C" w:rsidRDefault="00EF157C" w:rsidP="00EF157C">
      <w:pPr>
        <w:spacing w:before="240" w:after="240"/>
        <w:jc w:val="both"/>
        <w:rPr>
          <w:bCs/>
        </w:rPr>
      </w:pPr>
      <w:r w:rsidRPr="00EF157C">
        <w:rPr>
          <w:bCs/>
        </w:rPr>
        <w:t xml:space="preserve">A pesquisa </w:t>
      </w:r>
      <w:r>
        <w:rPr>
          <w:bCs/>
        </w:rPr>
        <w:t xml:space="preserve">levou em consideração o painel de compras do Governo do Estado do Ceará, conforme link a seguir: </w:t>
      </w:r>
      <w:hyperlink r:id="rId8" w:history="1">
        <w:r w:rsidR="00A960CF" w:rsidRPr="00453BEB">
          <w:rPr>
            <w:rStyle w:val="Hyperlink"/>
            <w:bCs/>
          </w:rPr>
          <w:t>https://s2gpr.sefaz.ce.gov.br/licita-web/paginas/licita/PublicacaoListItens.seam?codigoItemCatalogo=2045259</w:t>
        </w:r>
      </w:hyperlink>
    </w:p>
    <w:p w14:paraId="122296A2" w14:textId="27D7E202" w:rsidR="00A960CF" w:rsidRDefault="00A960CF" w:rsidP="00EF157C">
      <w:pPr>
        <w:spacing w:before="240" w:after="240"/>
        <w:jc w:val="both"/>
        <w:rPr>
          <w:bCs/>
        </w:rPr>
      </w:pPr>
      <w:r>
        <w:rPr>
          <w:bCs/>
        </w:rPr>
        <w:t xml:space="preserve">Link PNCP: </w:t>
      </w:r>
      <w:hyperlink r:id="rId9" w:history="1">
        <w:r w:rsidRPr="00A960CF">
          <w:rPr>
            <w:rStyle w:val="Hyperlink"/>
            <w:bCs/>
          </w:rPr>
          <w:t>Portal Nacional de Contratações Públicas</w:t>
        </w:r>
      </w:hyperlink>
    </w:p>
    <w:p w14:paraId="5773913C" w14:textId="658133AD" w:rsidR="00C85F6F" w:rsidRPr="00BE3A32" w:rsidRDefault="00C85F6F" w:rsidP="00F353C3">
      <w:pPr>
        <w:spacing w:before="240" w:after="240"/>
        <w:jc w:val="both"/>
      </w:pPr>
      <w:r w:rsidRPr="009D1AAD">
        <w:rPr>
          <w:b/>
        </w:rPr>
        <w:t>8. DESCRIÇÃO DA SOLUÇÃO</w:t>
      </w:r>
    </w:p>
    <w:p w14:paraId="50FB9114" w14:textId="77777777" w:rsidR="00A960CF" w:rsidRDefault="00A960CF" w:rsidP="00C85F6F">
      <w:pPr>
        <w:spacing w:before="240" w:after="240"/>
        <w:jc w:val="both"/>
      </w:pPr>
      <w:r>
        <w:t xml:space="preserve">A descrição da solução consiste em assegurar a implementação de uma ferramenta de inteligência artificial generativa colaborativa, moderna e eficiente, voltada para o apoio técnico e operacional às atividades desenvolvidas pelos diversos setores da administração pública municipal. A solução proposta abrange a contratação da plataforma ChatGPT Team, desenvolvida pela empresa OpenAI, reconhecida internacionalmente por sua excelência em tecnologias de linguagem natural e soluções corporativas baseadas em IA. </w:t>
      </w:r>
    </w:p>
    <w:p w14:paraId="1DDEADB8" w14:textId="04077EDB" w:rsidR="00A960CF" w:rsidRDefault="00A960CF" w:rsidP="00C85F6F">
      <w:pPr>
        <w:spacing w:before="240" w:after="240"/>
        <w:jc w:val="both"/>
      </w:pPr>
      <w:r>
        <w:t xml:space="preserve">A primeira etapa da solução envolve a aquisição de licenças da plataforma ChatGPT Team em ambiente corporativo, com estrutura organizacional multiusuário e recursos voltados à colaboração entre departamentos como Setor de Contratações, Setor de Compras, Unidades Demandantes, Departamento Jurídico etc. </w:t>
      </w:r>
    </w:p>
    <w:p w14:paraId="72CFAC53" w14:textId="77777777" w:rsidR="00A960CF" w:rsidRDefault="00A960CF" w:rsidP="00C85F6F">
      <w:pPr>
        <w:spacing w:before="240" w:after="240"/>
        <w:jc w:val="both"/>
      </w:pPr>
      <w:r>
        <w:t xml:space="preserve">A solução será disponibilizada de forma online, garantindo acesso seguro, rápido e contínuo </w:t>
      </w:r>
      <w:r>
        <w:lastRenderedPageBreak/>
        <w:t xml:space="preserve">a todos os servidores autorizados, sem necessidade de instalação de softwares locais. A plataforma oferece um conjunto de funcionalidades que permitirá à administração automatizar, acelerar e qualificar a elaboração de documentos administrativos, técnicos, jurídicos e normativos, incluindo termos de referência, estudos técnicos preliminares, pareceres, justificativas de contratação, respostas a órgãos de controle e outros materiais oficiais. </w:t>
      </w:r>
    </w:p>
    <w:p w14:paraId="017E795D" w14:textId="77777777" w:rsidR="00A960CF" w:rsidRDefault="00A960CF" w:rsidP="00C85F6F">
      <w:pPr>
        <w:spacing w:before="240" w:after="240"/>
        <w:jc w:val="both"/>
      </w:pPr>
      <w:r>
        <w:t xml:space="preserve">A solução também será utilizada para apoio à tomada de decisão, planejamento estratégico e padronização das comunicações institucionais, otimizando o tempo dos servidores e aumentando a eficiência operacional da gestão pública. Além de proporcionar eficiência, a ferramenta permite a personalização dos fluxos de trabalho, a criação de respostas e documentos conforme as diretrizes legais da administração pública e a manutenção de coerência e contexto em interações contínuas. </w:t>
      </w:r>
    </w:p>
    <w:p w14:paraId="628E0DA6" w14:textId="54087C4A" w:rsidR="00A960CF" w:rsidRDefault="00A960CF" w:rsidP="00C85F6F">
      <w:pPr>
        <w:spacing w:before="240" w:after="240"/>
        <w:jc w:val="both"/>
      </w:pPr>
      <w:r>
        <w:t>A plataforma também assegura a confidencialidade dos dados e a segurança da informação, com controles de acesso por permissões, autenticação em dois fatores (2FA), criptografia e conformidade com a Lei Geral de Proteção de Dados (LGPD – Lei nº 13.709/2018). A contratação será realizada por meio de processo licitatório, em observância à Lei nº 14.133/2021, garantindo a legalidade, isonomia, transparência, economicidade e seleção da proposta mais vantajosa para a Administração. O procedimento será instruído com termo de referência e demais documentos técnicos que especifiquem os requisitos mínimos da solução, sua finalidade pública e os critérios de avaliação das propostas.</w:t>
      </w:r>
    </w:p>
    <w:p w14:paraId="2CA47344" w14:textId="083EA077" w:rsidR="00A960CF" w:rsidRDefault="00A960CF" w:rsidP="00C85F6F">
      <w:pPr>
        <w:spacing w:before="240" w:after="240"/>
        <w:jc w:val="both"/>
      </w:pPr>
      <w:r>
        <w:t>A empresa contratada deverá assegurar o fornecimento pleno da solução, incluindo o acesso ao ambiente virtual, suporte técnico durante o período de vigência contratual, atualizações automáticas e capacitação inicial dos servidores, se necessário. Deverá também cumprir com todas as exigências legais e contratuais referentes à proteção de dados, segurança da informação e integridade do ambiente corporativo.</w:t>
      </w:r>
    </w:p>
    <w:p w14:paraId="0866E2E1" w14:textId="3083C968" w:rsidR="00A960CF" w:rsidRDefault="00A960CF" w:rsidP="00C85F6F">
      <w:pPr>
        <w:spacing w:before="240" w:after="240"/>
        <w:jc w:val="both"/>
      </w:pPr>
      <w:r>
        <w:t>Em resumo, a contratação da plataforma ChatGPT Team representa um avanço estratégico na modernização da gestão pública consorcial, promovendo mais agilidade, padronização, economia e segurança nas rotinas administrativas, ao mesmo tempo em que respeita os princípios da legalidade, eficiência e finalidade pública previstos na Lei nº 14.133/2021.</w:t>
      </w:r>
    </w:p>
    <w:p w14:paraId="7A36097F" w14:textId="7EAE8666" w:rsidR="00C85F6F" w:rsidRDefault="00C85F6F" w:rsidP="00C85F6F">
      <w:pPr>
        <w:spacing w:before="240" w:after="240"/>
        <w:jc w:val="both"/>
        <w:rPr>
          <w:rFonts w:cs="Times New Roman"/>
          <w:b/>
        </w:rPr>
      </w:pPr>
      <w:r>
        <w:rPr>
          <w:rFonts w:cs="Times New Roman"/>
          <w:b/>
        </w:rPr>
        <w:t>9</w:t>
      </w:r>
      <w:r w:rsidRPr="007A0603">
        <w:rPr>
          <w:rFonts w:cs="Times New Roman"/>
          <w:b/>
        </w:rPr>
        <w:t>. JUSTIFICATIVAS PARA O PARCELAMENTO OU NÃO DA SOLUÇÃO</w:t>
      </w:r>
    </w:p>
    <w:p w14:paraId="78F58EDF" w14:textId="76C9E932" w:rsidR="00A960CF" w:rsidRDefault="003D6F97" w:rsidP="00C85F6F">
      <w:pPr>
        <w:spacing w:before="240" w:after="240"/>
        <w:jc w:val="both"/>
        <w:rPr>
          <w:rFonts w:eastAsia="Times New Roman" w:cs="Times New Roman"/>
          <w:kern w:val="0"/>
          <w:lang w:eastAsia="pt-BR" w:bidi="ar-SA"/>
        </w:rPr>
      </w:pPr>
      <w:r w:rsidRPr="003D6F97">
        <w:t xml:space="preserve">O objeto desta contratação — licenças corporativas da plataforma ChatGPT Team — possui natureza técnica indivisível e funciona como sistema único e integrado, dependente de ambiente organizacional centralizado para manutenção de histórico, segurança, configurações e memória institucional. O parcelamento comprometeria funcionalidades essenciais, exigiria integração complexa entre ambientes heterogêneos, aumentaria custos operacionais e administrativos, e dificultaria a governança de dados e a conformidade com a LGPD. Ademais, a aquisição em lote único possibilita economia de escala (redução de preço unitário e custos de gestão), simplifica a fiscalização e garante responsabilização jurídica única. </w:t>
      </w:r>
    </w:p>
    <w:p w14:paraId="4473E367" w14:textId="77EDCD9A" w:rsidR="00C85F6F" w:rsidRPr="007A0603" w:rsidRDefault="00C85F6F" w:rsidP="00C85F6F">
      <w:pPr>
        <w:spacing w:before="240" w:after="240"/>
        <w:jc w:val="both"/>
        <w:rPr>
          <w:rFonts w:cs="Times New Roman"/>
          <w:b/>
        </w:rPr>
      </w:pPr>
      <w:r w:rsidRPr="007A0603">
        <w:rPr>
          <w:rFonts w:cs="Times New Roman"/>
          <w:b/>
        </w:rPr>
        <w:t>1</w:t>
      </w:r>
      <w:r>
        <w:rPr>
          <w:rFonts w:cs="Times New Roman"/>
          <w:b/>
        </w:rPr>
        <w:t>0</w:t>
      </w:r>
      <w:r w:rsidRPr="007A0603">
        <w:rPr>
          <w:rFonts w:cs="Times New Roman"/>
          <w:b/>
        </w:rPr>
        <w:t>. RESULTADOS PRETENDIDOS</w:t>
      </w:r>
    </w:p>
    <w:p w14:paraId="607D050E" w14:textId="06D95B3C" w:rsidR="003D6F97" w:rsidRPr="003D6F97" w:rsidRDefault="003D6F97" w:rsidP="003D6F97">
      <w:pPr>
        <w:spacing w:before="100" w:beforeAutospacing="1" w:after="100" w:afterAutospacing="1"/>
        <w:jc w:val="both"/>
      </w:pPr>
      <w:r w:rsidRPr="003D6F97">
        <w:t xml:space="preserve">A contratação da solução ChatGPT Team trará ganhos expressivos em eficiência administrativa, qualidade das entregas, apoio à tomada de decisão e modernização da gestão. </w:t>
      </w:r>
      <w:r w:rsidRPr="003D6F97">
        <w:lastRenderedPageBreak/>
        <w:t>Espera-se a redução de tempo na produção documental, a padronização dos instrumentos administrativos, a otimização do trabalho das equipes e a melhoria da governança de informações. Além disso, a contratação contribuirá para maior economicidade, inovação tecnológica e segurança institucional, garantindo conformidade com a LGPD e maior efetividade das ações do CPSMC.</w:t>
      </w:r>
    </w:p>
    <w:p w14:paraId="374588C7" w14:textId="237BD3E7" w:rsidR="00C85F6F" w:rsidRPr="00836F95" w:rsidRDefault="00C85F6F" w:rsidP="00C85F6F">
      <w:pPr>
        <w:spacing w:before="240" w:after="240"/>
        <w:jc w:val="both"/>
        <w:rPr>
          <w:b/>
        </w:rPr>
      </w:pPr>
      <w:r w:rsidRPr="00836F95">
        <w:rPr>
          <w:b/>
        </w:rPr>
        <w:t>1</w:t>
      </w:r>
      <w:r>
        <w:rPr>
          <w:b/>
        </w:rPr>
        <w:t>1</w:t>
      </w:r>
      <w:r w:rsidRPr="00836F95">
        <w:rPr>
          <w:b/>
        </w:rPr>
        <w:t>. PROVIDÊNCIAS PARA A ADEQUAÇÃO DO AMBIENTE DO ÓRGÃO</w:t>
      </w:r>
    </w:p>
    <w:p w14:paraId="246B8869" w14:textId="5ADADE32" w:rsidR="003D6F97" w:rsidRDefault="003D6F97" w:rsidP="003D6F97">
      <w:pPr>
        <w:spacing w:before="240" w:after="240"/>
        <w:jc w:val="both"/>
      </w:pPr>
      <w:r w:rsidRPr="003D6F97">
        <w:t>O CPSMC deverá adotar medidas de infraestrutura tecnológica (garantia de internet estável e equipamentos compatíveis), gestão de acessos (definição de usuários e administrador do ambiente), segurança da informação (políticas internas de conformidade com a LGPD)</w:t>
      </w:r>
      <w:r>
        <w:t xml:space="preserve"> </w:t>
      </w:r>
      <w:r w:rsidRPr="003D6F97">
        <w:t>e gestão contratual (designação de gestor/fiscal, definição de indicadores de desempenho e acompanhamento periódico). Essas providências garantirão a utilização plena e segura da plataforma ChatGPT Team, assegurando a efetividade da contratação.</w:t>
      </w:r>
    </w:p>
    <w:p w14:paraId="09186FC3" w14:textId="77777777" w:rsidR="00C85F6F" w:rsidRDefault="00C85F6F" w:rsidP="00BD4C27">
      <w:pPr>
        <w:spacing w:before="240" w:after="240"/>
        <w:jc w:val="both"/>
        <w:rPr>
          <w:b/>
        </w:rPr>
      </w:pPr>
      <w:r>
        <w:rPr>
          <w:b/>
        </w:rPr>
        <w:t xml:space="preserve">12. CONTRATAÇÕES CORRELATAS E/OU INTERDEPENDENTES </w:t>
      </w:r>
    </w:p>
    <w:p w14:paraId="01F13C12" w14:textId="77777777" w:rsidR="003D6F97" w:rsidRDefault="003D6F97" w:rsidP="00C85F6F">
      <w:pPr>
        <w:spacing w:before="240" w:after="240"/>
        <w:jc w:val="both"/>
      </w:pPr>
      <w:r w:rsidRPr="003D6F97">
        <w:t>Durante a fase de planejamento da presente contratação, não foram identificadas contratações correlatas ou interdependentes que condicionem a viabilidade de execução do objeto.</w:t>
      </w:r>
    </w:p>
    <w:p w14:paraId="2F786F61" w14:textId="3A4EF3F1" w:rsidR="00C85F6F" w:rsidRPr="00A4193D" w:rsidRDefault="00C85F6F" w:rsidP="00C85F6F">
      <w:pPr>
        <w:spacing w:before="240" w:after="240"/>
        <w:jc w:val="both"/>
        <w:rPr>
          <w:b/>
        </w:rPr>
      </w:pPr>
      <w:r w:rsidRPr="00A4193D">
        <w:rPr>
          <w:b/>
        </w:rPr>
        <w:t>1</w:t>
      </w:r>
      <w:r>
        <w:rPr>
          <w:b/>
        </w:rPr>
        <w:t>3</w:t>
      </w:r>
      <w:r w:rsidRPr="00A4193D">
        <w:rPr>
          <w:b/>
        </w:rPr>
        <w:t xml:space="preserve">. IMPACTO AMBIENTAL </w:t>
      </w:r>
    </w:p>
    <w:p w14:paraId="709A6B78" w14:textId="01DACDF2" w:rsidR="003D6F97" w:rsidRPr="003D6F97" w:rsidRDefault="003D6F97" w:rsidP="00C85F6F">
      <w:pPr>
        <w:spacing w:before="240" w:after="240"/>
        <w:jc w:val="both"/>
        <w:rPr>
          <w:bCs/>
        </w:rPr>
      </w:pPr>
      <w:r w:rsidRPr="003D6F97">
        <w:rPr>
          <w:bCs/>
        </w:rPr>
        <w:t>A contratação da solução ChatGPT Team apresenta impacto ambiental mínimo, uma vez que se trata de uma ferramenta digital de inteligência artificial disponibilizada em ambiente online, não envolvendo fabricação, transporte ou descarte de materiais físicos.</w:t>
      </w:r>
    </w:p>
    <w:p w14:paraId="01545BB0" w14:textId="12BCD094" w:rsidR="00C85F6F" w:rsidRDefault="00C85F6F" w:rsidP="00C85F6F">
      <w:pPr>
        <w:spacing w:before="240" w:after="240"/>
        <w:jc w:val="both"/>
        <w:rPr>
          <w:b/>
        </w:rPr>
      </w:pPr>
      <w:r w:rsidRPr="00836F95">
        <w:rPr>
          <w:b/>
        </w:rPr>
        <w:t>1</w:t>
      </w:r>
      <w:r>
        <w:rPr>
          <w:b/>
        </w:rPr>
        <w:t>4</w:t>
      </w:r>
      <w:r w:rsidRPr="00836F95">
        <w:rPr>
          <w:b/>
        </w:rPr>
        <w:t xml:space="preserve">. </w:t>
      </w:r>
      <w:r w:rsidRPr="003B0561">
        <w:rPr>
          <w:b/>
        </w:rPr>
        <w:t>POSCIONAMENTO CONCLUSIVO</w:t>
      </w:r>
    </w:p>
    <w:p w14:paraId="53413B14" w14:textId="13D24009" w:rsidR="00DD1541" w:rsidRPr="00BE3A32" w:rsidRDefault="00BE3A32" w:rsidP="003D6F97">
      <w:pPr>
        <w:spacing w:before="240" w:after="240"/>
        <w:jc w:val="both"/>
      </w:pPr>
      <w:r w:rsidRPr="00BE3A32">
        <w:t xml:space="preserve">Os estudos preliminares evidenciam que </w:t>
      </w:r>
      <w:r w:rsidR="00B63F55">
        <w:t xml:space="preserve">a </w:t>
      </w:r>
      <w:r w:rsidR="003D6F97" w:rsidRPr="003D6F97">
        <w:rPr>
          <w:bCs/>
        </w:rPr>
        <w:t>Contratação de serviço de licenças do software de Inteligência Artificial ChatGPT-5.0 Teams/Business por 12 meses</w:t>
      </w:r>
      <w:r w:rsidR="003D6F97">
        <w:rPr>
          <w:bCs/>
        </w:rPr>
        <w:t xml:space="preserve"> de interesse do </w:t>
      </w:r>
      <w:r w:rsidRPr="00BE3A32">
        <w:rPr>
          <w:rFonts w:eastAsia="Times New Roman" w:cs="Times New Roman"/>
          <w:bCs/>
          <w:color w:val="000000"/>
          <w:lang w:eastAsia="pt-BR"/>
        </w:rPr>
        <w:t>Consórcio Público de Saúde da Microrregião de Crato - CPSMC</w:t>
      </w:r>
      <w:r w:rsidRPr="00BE3A32">
        <w:rPr>
          <w:bCs/>
        </w:rPr>
        <w:t>,</w:t>
      </w:r>
      <w:r w:rsidRPr="00BE3A32">
        <w:t xml:space="preserve"> mostra-se tecnicamente possível e fundamentadamente necessária.</w:t>
      </w:r>
    </w:p>
    <w:p w14:paraId="7D7103D5" w14:textId="77777777" w:rsidR="00C85F6F" w:rsidRDefault="00C85F6F" w:rsidP="00C85F6F">
      <w:pPr>
        <w:spacing w:before="240" w:after="240"/>
        <w:jc w:val="both"/>
        <w:rPr>
          <w:rFonts w:cs="Times New Roman"/>
          <w:b/>
        </w:rPr>
      </w:pPr>
      <w:r w:rsidRPr="007A0603">
        <w:rPr>
          <w:rFonts w:cs="Times New Roman"/>
          <w:b/>
        </w:rPr>
        <w:t>1</w:t>
      </w:r>
      <w:r>
        <w:rPr>
          <w:rFonts w:cs="Times New Roman"/>
          <w:b/>
        </w:rPr>
        <w:t>5</w:t>
      </w:r>
      <w:r w:rsidRPr="007A0603">
        <w:rPr>
          <w:rFonts w:cs="Times New Roman"/>
          <w:b/>
        </w:rPr>
        <w:t xml:space="preserve">. </w:t>
      </w:r>
      <w:r>
        <w:rPr>
          <w:rFonts w:cs="Times New Roman"/>
          <w:b/>
        </w:rPr>
        <w:t>ANEXOS</w:t>
      </w:r>
    </w:p>
    <w:p w14:paraId="73ACF6DA" w14:textId="77777777" w:rsidR="00C85F6F" w:rsidRDefault="00C85F6F" w:rsidP="00C85F6F">
      <w:pPr>
        <w:spacing w:before="240" w:after="240"/>
        <w:ind w:firstLine="709"/>
        <w:jc w:val="both"/>
        <w:rPr>
          <w:rFonts w:cs="Times New Roman"/>
        </w:rPr>
      </w:pPr>
      <w:r>
        <w:rPr>
          <w:rFonts w:cs="Times New Roman"/>
        </w:rPr>
        <w:t>Integram o Presente Estudo Técnico Preliminar – ETP os seguintes documentos:</w:t>
      </w:r>
    </w:p>
    <w:p w14:paraId="3F1B29BB" w14:textId="2F0BD860" w:rsidR="00BE3A32" w:rsidRDefault="00C85F6F" w:rsidP="007F0858">
      <w:pPr>
        <w:pStyle w:val="PargrafodaLista"/>
        <w:numPr>
          <w:ilvl w:val="0"/>
          <w:numId w:val="3"/>
        </w:numPr>
        <w:spacing w:before="240" w:after="240"/>
        <w:jc w:val="both"/>
        <w:rPr>
          <w:rFonts w:cs="Times New Roman"/>
        </w:rPr>
      </w:pPr>
      <w:r>
        <w:rPr>
          <w:rFonts w:cs="Times New Roman"/>
        </w:rPr>
        <w:t xml:space="preserve">Anexo I – Mapa de Riscos. </w:t>
      </w:r>
    </w:p>
    <w:p w14:paraId="11BB8665" w14:textId="77777777" w:rsidR="003D6F97" w:rsidRPr="007F0858" w:rsidRDefault="003D6F97" w:rsidP="003D6F97">
      <w:pPr>
        <w:pStyle w:val="PargrafodaLista"/>
        <w:spacing w:before="240" w:after="240"/>
        <w:ind w:left="1069"/>
        <w:jc w:val="both"/>
        <w:rPr>
          <w:rFonts w:cs="Times New Roman"/>
        </w:rPr>
      </w:pPr>
    </w:p>
    <w:p w14:paraId="38A4FDE4" w14:textId="77777777" w:rsidR="00DE288F" w:rsidRDefault="00DE288F" w:rsidP="00DE288F">
      <w:pPr>
        <w:rPr>
          <w:i/>
        </w:rPr>
        <w:sectPr w:rsidR="00DE288F" w:rsidSect="0098394B">
          <w:headerReference w:type="default" r:id="rId10"/>
          <w:footerReference w:type="default" r:id="rId11"/>
          <w:pgSz w:w="11906" w:h="16838"/>
          <w:pgMar w:top="1701" w:right="1276" w:bottom="1418" w:left="1701" w:header="0" w:footer="0" w:gutter="0"/>
          <w:cols w:space="708"/>
          <w:docGrid w:linePitch="360"/>
        </w:sectPr>
      </w:pPr>
    </w:p>
    <w:p w14:paraId="008E31A7" w14:textId="560059FF" w:rsidR="00F5495F" w:rsidRPr="006B0225" w:rsidRDefault="00C85F6F" w:rsidP="00EF0ADB">
      <w:pPr>
        <w:jc w:val="center"/>
        <w:rPr>
          <w:rFonts w:cs="Times New Roman"/>
          <w:b/>
        </w:rPr>
      </w:pPr>
      <w:r>
        <w:rPr>
          <w:rFonts w:cs="Times New Roman"/>
          <w:b/>
        </w:rPr>
        <w:lastRenderedPageBreak/>
        <w:t>ANEXO I – MAPA DE RISCOS</w:t>
      </w:r>
    </w:p>
    <w:p w14:paraId="11A832E8" w14:textId="77777777" w:rsidR="00C85F6F" w:rsidRDefault="00C85F6F" w:rsidP="00C85F6F">
      <w:pPr>
        <w:rPr>
          <w:rFonts w:cs="Times New Roman"/>
          <w:b/>
          <w:bCs/>
        </w:rPr>
      </w:pPr>
    </w:p>
    <w:tbl>
      <w:tblPr>
        <w:tblStyle w:val="TabeladeGrade1Clara"/>
        <w:tblW w:w="15185" w:type="dxa"/>
        <w:tblInd w:w="-431" w:type="dxa"/>
        <w:tblLook w:val="04A0" w:firstRow="1" w:lastRow="0" w:firstColumn="1" w:lastColumn="0" w:noHBand="0" w:noVBand="1"/>
      </w:tblPr>
      <w:tblGrid>
        <w:gridCol w:w="704"/>
        <w:gridCol w:w="1603"/>
        <w:gridCol w:w="1247"/>
        <w:gridCol w:w="1140"/>
        <w:gridCol w:w="1496"/>
        <w:gridCol w:w="1025"/>
        <w:gridCol w:w="1247"/>
        <w:gridCol w:w="1183"/>
        <w:gridCol w:w="785"/>
        <w:gridCol w:w="1247"/>
        <w:gridCol w:w="1061"/>
        <w:gridCol w:w="1386"/>
        <w:gridCol w:w="1061"/>
      </w:tblGrid>
      <w:tr w:rsidR="00133AA8" w:rsidRPr="00133AA8" w14:paraId="65829844" w14:textId="77777777" w:rsidTr="00B76A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vAlign w:val="center"/>
            <w:hideMark/>
          </w:tcPr>
          <w:p w14:paraId="4F1EC735" w14:textId="77777777" w:rsidR="00133AA8" w:rsidRPr="00133AA8" w:rsidRDefault="00133AA8" w:rsidP="00133AA8">
            <w:pPr>
              <w:ind w:right="-110"/>
              <w:jc w:val="center"/>
              <w:rPr>
                <w:rFonts w:cs="Times New Roman"/>
                <w:sz w:val="16"/>
                <w:szCs w:val="16"/>
              </w:rPr>
            </w:pPr>
            <w:r w:rsidRPr="00133AA8">
              <w:rPr>
                <w:rFonts w:cs="Times New Roman"/>
                <w:sz w:val="16"/>
                <w:szCs w:val="16"/>
              </w:rPr>
              <w:t>Nº do Risco</w:t>
            </w:r>
          </w:p>
        </w:tc>
        <w:tc>
          <w:tcPr>
            <w:tcW w:w="0" w:type="auto"/>
            <w:vAlign w:val="center"/>
            <w:hideMark/>
          </w:tcPr>
          <w:p w14:paraId="6ACD2646"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Risco / Descrição</w:t>
            </w:r>
          </w:p>
        </w:tc>
        <w:tc>
          <w:tcPr>
            <w:tcW w:w="0" w:type="auto"/>
            <w:vAlign w:val="center"/>
            <w:hideMark/>
          </w:tcPr>
          <w:p w14:paraId="5B424C74"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Causa do Risco</w:t>
            </w:r>
          </w:p>
        </w:tc>
        <w:tc>
          <w:tcPr>
            <w:tcW w:w="0" w:type="auto"/>
            <w:vAlign w:val="center"/>
            <w:hideMark/>
          </w:tcPr>
          <w:p w14:paraId="197BF641"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Tipo do Risco</w:t>
            </w:r>
          </w:p>
        </w:tc>
        <w:tc>
          <w:tcPr>
            <w:tcW w:w="0" w:type="auto"/>
            <w:vAlign w:val="center"/>
            <w:hideMark/>
          </w:tcPr>
          <w:p w14:paraId="43A2D59C"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Fase</w:t>
            </w:r>
          </w:p>
        </w:tc>
        <w:tc>
          <w:tcPr>
            <w:tcW w:w="0" w:type="auto"/>
            <w:vAlign w:val="center"/>
            <w:hideMark/>
          </w:tcPr>
          <w:p w14:paraId="58E98BC6"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Alocação</w:t>
            </w:r>
          </w:p>
        </w:tc>
        <w:tc>
          <w:tcPr>
            <w:tcW w:w="0" w:type="auto"/>
            <w:vAlign w:val="center"/>
            <w:hideMark/>
          </w:tcPr>
          <w:p w14:paraId="12A41D6C"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Consequência / Impacto</w:t>
            </w:r>
          </w:p>
        </w:tc>
        <w:tc>
          <w:tcPr>
            <w:tcW w:w="0" w:type="auto"/>
            <w:vAlign w:val="center"/>
            <w:hideMark/>
          </w:tcPr>
          <w:p w14:paraId="3D0980B1"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Probabilidade</w:t>
            </w:r>
          </w:p>
        </w:tc>
        <w:tc>
          <w:tcPr>
            <w:tcW w:w="0" w:type="auto"/>
            <w:vAlign w:val="center"/>
            <w:hideMark/>
          </w:tcPr>
          <w:p w14:paraId="309AD294"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Impacto</w:t>
            </w:r>
          </w:p>
        </w:tc>
        <w:tc>
          <w:tcPr>
            <w:tcW w:w="0" w:type="auto"/>
            <w:vAlign w:val="center"/>
            <w:hideMark/>
          </w:tcPr>
          <w:p w14:paraId="3E8D4E29"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Ações Preventivas</w:t>
            </w:r>
          </w:p>
        </w:tc>
        <w:tc>
          <w:tcPr>
            <w:tcW w:w="0" w:type="auto"/>
            <w:vAlign w:val="center"/>
            <w:hideMark/>
          </w:tcPr>
          <w:p w14:paraId="4DFC3EEE"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Responsável</w:t>
            </w:r>
          </w:p>
        </w:tc>
        <w:tc>
          <w:tcPr>
            <w:tcW w:w="0" w:type="auto"/>
            <w:vAlign w:val="center"/>
            <w:hideMark/>
          </w:tcPr>
          <w:p w14:paraId="6107079A"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Ações de Contingência</w:t>
            </w:r>
          </w:p>
        </w:tc>
        <w:tc>
          <w:tcPr>
            <w:tcW w:w="0" w:type="auto"/>
            <w:vAlign w:val="center"/>
            <w:hideMark/>
          </w:tcPr>
          <w:p w14:paraId="65BB824C" w14:textId="77777777" w:rsidR="00133AA8" w:rsidRPr="00133AA8" w:rsidRDefault="00133AA8" w:rsidP="00133AA8">
            <w:pPr>
              <w:jc w:val="center"/>
              <w:cnfStyle w:val="100000000000" w:firstRow="1"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Responsável</w:t>
            </w:r>
          </w:p>
        </w:tc>
      </w:tr>
      <w:tr w:rsidR="00133AA8" w:rsidRPr="00133AA8" w14:paraId="28FCD72A" w14:textId="77777777" w:rsidTr="00B76A5A">
        <w:tc>
          <w:tcPr>
            <w:cnfStyle w:val="001000000000" w:firstRow="0" w:lastRow="0" w:firstColumn="1" w:lastColumn="0" w:oddVBand="0" w:evenVBand="0" w:oddHBand="0" w:evenHBand="0" w:firstRowFirstColumn="0" w:firstRowLastColumn="0" w:lastRowFirstColumn="0" w:lastRowLastColumn="0"/>
            <w:tcW w:w="704" w:type="dxa"/>
            <w:vAlign w:val="center"/>
            <w:hideMark/>
          </w:tcPr>
          <w:p w14:paraId="5E184FCE" w14:textId="77777777" w:rsidR="00133AA8" w:rsidRPr="00133AA8" w:rsidRDefault="00133AA8" w:rsidP="00133AA8">
            <w:pPr>
              <w:jc w:val="center"/>
              <w:rPr>
                <w:rFonts w:cs="Times New Roman"/>
                <w:b w:val="0"/>
                <w:bCs w:val="0"/>
                <w:sz w:val="16"/>
                <w:szCs w:val="16"/>
              </w:rPr>
            </w:pPr>
            <w:r w:rsidRPr="00133AA8">
              <w:rPr>
                <w:rFonts w:cs="Times New Roman"/>
                <w:b w:val="0"/>
                <w:bCs w:val="0"/>
                <w:sz w:val="16"/>
                <w:szCs w:val="16"/>
              </w:rPr>
              <w:t>1</w:t>
            </w:r>
          </w:p>
        </w:tc>
        <w:tc>
          <w:tcPr>
            <w:tcW w:w="0" w:type="auto"/>
            <w:vAlign w:val="center"/>
            <w:hideMark/>
          </w:tcPr>
          <w:p w14:paraId="65BA6946"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Definição inadequada do objeto (funcionalidades, integrações, número de usuários)</w:t>
            </w:r>
          </w:p>
        </w:tc>
        <w:tc>
          <w:tcPr>
            <w:tcW w:w="0" w:type="auto"/>
            <w:vAlign w:val="center"/>
            <w:hideMark/>
          </w:tcPr>
          <w:p w14:paraId="3B65A1A9"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Falta de levantamento detalhado das necessidades administrativas</w:t>
            </w:r>
          </w:p>
        </w:tc>
        <w:tc>
          <w:tcPr>
            <w:tcW w:w="0" w:type="auto"/>
            <w:vAlign w:val="center"/>
            <w:hideMark/>
          </w:tcPr>
          <w:p w14:paraId="44F79434"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Técnico</w:t>
            </w:r>
          </w:p>
        </w:tc>
        <w:tc>
          <w:tcPr>
            <w:tcW w:w="0" w:type="auto"/>
            <w:vAlign w:val="center"/>
            <w:hideMark/>
          </w:tcPr>
          <w:p w14:paraId="68FD777D"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Planejamento da Contratação</w:t>
            </w:r>
          </w:p>
        </w:tc>
        <w:tc>
          <w:tcPr>
            <w:tcW w:w="0" w:type="auto"/>
            <w:vAlign w:val="center"/>
            <w:hideMark/>
          </w:tcPr>
          <w:p w14:paraId="5EDDE620"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Área Demandante</w:t>
            </w:r>
          </w:p>
        </w:tc>
        <w:tc>
          <w:tcPr>
            <w:tcW w:w="0" w:type="auto"/>
            <w:vAlign w:val="center"/>
            <w:hideMark/>
          </w:tcPr>
          <w:p w14:paraId="01D2532A"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Sistema não atende demandas específicas, dificultando uso</w:t>
            </w:r>
          </w:p>
        </w:tc>
        <w:tc>
          <w:tcPr>
            <w:tcW w:w="0" w:type="auto"/>
            <w:vAlign w:val="center"/>
            <w:hideMark/>
          </w:tcPr>
          <w:p w14:paraId="7CCD1732"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Média</w:t>
            </w:r>
          </w:p>
        </w:tc>
        <w:tc>
          <w:tcPr>
            <w:tcW w:w="0" w:type="auto"/>
            <w:vAlign w:val="center"/>
            <w:hideMark/>
          </w:tcPr>
          <w:p w14:paraId="62FFC80F"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Alta</w:t>
            </w:r>
          </w:p>
        </w:tc>
        <w:tc>
          <w:tcPr>
            <w:tcW w:w="0" w:type="auto"/>
            <w:vAlign w:val="center"/>
            <w:hideMark/>
          </w:tcPr>
          <w:p w14:paraId="09AAD1C7"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Realizar reuniões com setores administrativos e TI antes da elaboração do TR</w:t>
            </w:r>
          </w:p>
        </w:tc>
        <w:tc>
          <w:tcPr>
            <w:tcW w:w="0" w:type="auto"/>
            <w:vAlign w:val="center"/>
            <w:hideMark/>
          </w:tcPr>
          <w:p w14:paraId="793E691A"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Área Requisitante</w:t>
            </w:r>
          </w:p>
        </w:tc>
        <w:tc>
          <w:tcPr>
            <w:tcW w:w="0" w:type="auto"/>
            <w:vAlign w:val="center"/>
            <w:hideMark/>
          </w:tcPr>
          <w:p w14:paraId="6A52F1EB"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Revisar especificações técnicas e republicar processo, se necessário</w:t>
            </w:r>
          </w:p>
        </w:tc>
        <w:tc>
          <w:tcPr>
            <w:tcW w:w="0" w:type="auto"/>
            <w:vAlign w:val="center"/>
            <w:hideMark/>
          </w:tcPr>
          <w:p w14:paraId="0B17BEBC"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Comissão de Licitação</w:t>
            </w:r>
          </w:p>
        </w:tc>
      </w:tr>
      <w:tr w:rsidR="00133AA8" w:rsidRPr="00133AA8" w14:paraId="67D402BF" w14:textId="77777777" w:rsidTr="00B76A5A">
        <w:tc>
          <w:tcPr>
            <w:cnfStyle w:val="001000000000" w:firstRow="0" w:lastRow="0" w:firstColumn="1" w:lastColumn="0" w:oddVBand="0" w:evenVBand="0" w:oddHBand="0" w:evenHBand="0" w:firstRowFirstColumn="0" w:firstRowLastColumn="0" w:lastRowFirstColumn="0" w:lastRowLastColumn="0"/>
            <w:tcW w:w="704" w:type="dxa"/>
            <w:vAlign w:val="center"/>
            <w:hideMark/>
          </w:tcPr>
          <w:p w14:paraId="06D727D3" w14:textId="77777777" w:rsidR="00133AA8" w:rsidRPr="00133AA8" w:rsidRDefault="00133AA8" w:rsidP="00133AA8">
            <w:pPr>
              <w:jc w:val="center"/>
              <w:rPr>
                <w:rFonts w:cs="Times New Roman"/>
                <w:b w:val="0"/>
                <w:bCs w:val="0"/>
                <w:sz w:val="16"/>
                <w:szCs w:val="16"/>
              </w:rPr>
            </w:pPr>
            <w:r w:rsidRPr="00133AA8">
              <w:rPr>
                <w:rFonts w:cs="Times New Roman"/>
                <w:b w:val="0"/>
                <w:bCs w:val="0"/>
                <w:sz w:val="16"/>
                <w:szCs w:val="16"/>
              </w:rPr>
              <w:t>2</w:t>
            </w:r>
          </w:p>
        </w:tc>
        <w:tc>
          <w:tcPr>
            <w:tcW w:w="0" w:type="auto"/>
            <w:vAlign w:val="center"/>
            <w:hideMark/>
          </w:tcPr>
          <w:p w14:paraId="071F7AA9"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Subdimensionamento de usuários ou licenças</w:t>
            </w:r>
          </w:p>
        </w:tc>
        <w:tc>
          <w:tcPr>
            <w:tcW w:w="0" w:type="auto"/>
            <w:vAlign w:val="center"/>
            <w:hideMark/>
          </w:tcPr>
          <w:p w14:paraId="5DB150ED"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Estimativa incorreta do número de servidores que utilizarão o sistema</w:t>
            </w:r>
          </w:p>
        </w:tc>
        <w:tc>
          <w:tcPr>
            <w:tcW w:w="0" w:type="auto"/>
            <w:vAlign w:val="center"/>
            <w:hideMark/>
          </w:tcPr>
          <w:p w14:paraId="767A8264"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Técnico</w:t>
            </w:r>
          </w:p>
        </w:tc>
        <w:tc>
          <w:tcPr>
            <w:tcW w:w="0" w:type="auto"/>
            <w:vAlign w:val="center"/>
            <w:hideMark/>
          </w:tcPr>
          <w:p w14:paraId="54E91E8D"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Planejamento da Contratação</w:t>
            </w:r>
          </w:p>
        </w:tc>
        <w:tc>
          <w:tcPr>
            <w:tcW w:w="0" w:type="auto"/>
            <w:vAlign w:val="center"/>
            <w:hideMark/>
          </w:tcPr>
          <w:p w14:paraId="0E45FA8A"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Área Demandante</w:t>
            </w:r>
          </w:p>
        </w:tc>
        <w:tc>
          <w:tcPr>
            <w:tcW w:w="0" w:type="auto"/>
            <w:vAlign w:val="center"/>
            <w:hideMark/>
          </w:tcPr>
          <w:p w14:paraId="2DA94884"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Licenciamento insuficiente e restrições de uso</w:t>
            </w:r>
          </w:p>
        </w:tc>
        <w:tc>
          <w:tcPr>
            <w:tcW w:w="0" w:type="auto"/>
            <w:vAlign w:val="center"/>
            <w:hideMark/>
          </w:tcPr>
          <w:p w14:paraId="524FB543"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Média</w:t>
            </w:r>
          </w:p>
        </w:tc>
        <w:tc>
          <w:tcPr>
            <w:tcW w:w="0" w:type="auto"/>
            <w:vAlign w:val="center"/>
            <w:hideMark/>
          </w:tcPr>
          <w:p w14:paraId="56E9A5DA"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Alta</w:t>
            </w:r>
          </w:p>
        </w:tc>
        <w:tc>
          <w:tcPr>
            <w:tcW w:w="0" w:type="auto"/>
            <w:vAlign w:val="center"/>
            <w:hideMark/>
          </w:tcPr>
          <w:p w14:paraId="5C8C8638"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Levantar histórico de uso de sistemas semelhantes e estimar crescimento</w:t>
            </w:r>
          </w:p>
        </w:tc>
        <w:tc>
          <w:tcPr>
            <w:tcW w:w="0" w:type="auto"/>
            <w:vAlign w:val="center"/>
            <w:hideMark/>
          </w:tcPr>
          <w:p w14:paraId="1605ED03"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Área Técnica</w:t>
            </w:r>
          </w:p>
        </w:tc>
        <w:tc>
          <w:tcPr>
            <w:tcW w:w="0" w:type="auto"/>
            <w:vAlign w:val="center"/>
            <w:hideMark/>
          </w:tcPr>
          <w:p w14:paraId="7C623752"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Contratar licenças adicionais emergencialmente</w:t>
            </w:r>
          </w:p>
        </w:tc>
        <w:tc>
          <w:tcPr>
            <w:tcW w:w="0" w:type="auto"/>
            <w:vAlign w:val="center"/>
            <w:hideMark/>
          </w:tcPr>
          <w:p w14:paraId="5EF13D92"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Área Técnica</w:t>
            </w:r>
          </w:p>
        </w:tc>
      </w:tr>
      <w:tr w:rsidR="00133AA8" w:rsidRPr="00133AA8" w14:paraId="3697F93B" w14:textId="77777777" w:rsidTr="00B76A5A">
        <w:tc>
          <w:tcPr>
            <w:cnfStyle w:val="001000000000" w:firstRow="0" w:lastRow="0" w:firstColumn="1" w:lastColumn="0" w:oddVBand="0" w:evenVBand="0" w:oddHBand="0" w:evenHBand="0" w:firstRowFirstColumn="0" w:firstRowLastColumn="0" w:lastRowFirstColumn="0" w:lastRowLastColumn="0"/>
            <w:tcW w:w="704" w:type="dxa"/>
            <w:vAlign w:val="center"/>
            <w:hideMark/>
          </w:tcPr>
          <w:p w14:paraId="4B7A4B21" w14:textId="77777777" w:rsidR="00133AA8" w:rsidRPr="00133AA8" w:rsidRDefault="00133AA8" w:rsidP="00133AA8">
            <w:pPr>
              <w:jc w:val="center"/>
              <w:rPr>
                <w:rFonts w:cs="Times New Roman"/>
                <w:b w:val="0"/>
                <w:bCs w:val="0"/>
                <w:sz w:val="16"/>
                <w:szCs w:val="16"/>
              </w:rPr>
            </w:pPr>
            <w:r w:rsidRPr="00133AA8">
              <w:rPr>
                <w:rFonts w:cs="Times New Roman"/>
                <w:b w:val="0"/>
                <w:bCs w:val="0"/>
                <w:sz w:val="16"/>
                <w:szCs w:val="16"/>
              </w:rPr>
              <w:t>3</w:t>
            </w:r>
          </w:p>
        </w:tc>
        <w:tc>
          <w:tcPr>
            <w:tcW w:w="0" w:type="auto"/>
            <w:vAlign w:val="center"/>
            <w:hideMark/>
          </w:tcPr>
          <w:p w14:paraId="2DA1007D"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Pesquisa de preços inadequada</w:t>
            </w:r>
          </w:p>
        </w:tc>
        <w:tc>
          <w:tcPr>
            <w:tcW w:w="0" w:type="auto"/>
            <w:vAlign w:val="center"/>
            <w:hideMark/>
          </w:tcPr>
          <w:p w14:paraId="149C8A8A"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Consulta limitada a fornecedores específicos ou internacionais</w:t>
            </w:r>
          </w:p>
        </w:tc>
        <w:tc>
          <w:tcPr>
            <w:tcW w:w="0" w:type="auto"/>
            <w:vAlign w:val="center"/>
            <w:hideMark/>
          </w:tcPr>
          <w:p w14:paraId="547B7C6A"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Técnico</w:t>
            </w:r>
          </w:p>
        </w:tc>
        <w:tc>
          <w:tcPr>
            <w:tcW w:w="0" w:type="auto"/>
            <w:vAlign w:val="center"/>
            <w:hideMark/>
          </w:tcPr>
          <w:p w14:paraId="2060D5C3"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Planejamento da Contratação</w:t>
            </w:r>
          </w:p>
        </w:tc>
        <w:tc>
          <w:tcPr>
            <w:tcW w:w="0" w:type="auto"/>
            <w:vAlign w:val="center"/>
            <w:hideMark/>
          </w:tcPr>
          <w:p w14:paraId="3DF558DB"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Comissão de Licitação</w:t>
            </w:r>
          </w:p>
        </w:tc>
        <w:tc>
          <w:tcPr>
            <w:tcW w:w="0" w:type="auto"/>
            <w:vAlign w:val="center"/>
            <w:hideMark/>
          </w:tcPr>
          <w:p w14:paraId="085E9A2F"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Preço acima do mercado ou inviabilidade financeira</w:t>
            </w:r>
          </w:p>
        </w:tc>
        <w:tc>
          <w:tcPr>
            <w:tcW w:w="0" w:type="auto"/>
            <w:vAlign w:val="center"/>
            <w:hideMark/>
          </w:tcPr>
          <w:p w14:paraId="304DC1A3"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Alta</w:t>
            </w:r>
          </w:p>
        </w:tc>
        <w:tc>
          <w:tcPr>
            <w:tcW w:w="0" w:type="auto"/>
            <w:vAlign w:val="center"/>
            <w:hideMark/>
          </w:tcPr>
          <w:p w14:paraId="320A4569"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Média</w:t>
            </w:r>
          </w:p>
        </w:tc>
        <w:tc>
          <w:tcPr>
            <w:tcW w:w="0" w:type="auto"/>
            <w:vAlign w:val="center"/>
            <w:hideMark/>
          </w:tcPr>
          <w:p w14:paraId="4F1593A7"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Realizar pesquisa ampla de mercado, incluindo fornecedores locais e nacionais</w:t>
            </w:r>
          </w:p>
        </w:tc>
        <w:tc>
          <w:tcPr>
            <w:tcW w:w="0" w:type="auto"/>
            <w:vAlign w:val="center"/>
            <w:hideMark/>
          </w:tcPr>
          <w:p w14:paraId="09CE4497"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Setor de Compras</w:t>
            </w:r>
          </w:p>
        </w:tc>
        <w:tc>
          <w:tcPr>
            <w:tcW w:w="0" w:type="auto"/>
            <w:vAlign w:val="center"/>
            <w:hideMark/>
          </w:tcPr>
          <w:p w14:paraId="4929FCF1"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Readequar orçamento e refazer pesquisa de preços</w:t>
            </w:r>
          </w:p>
        </w:tc>
        <w:tc>
          <w:tcPr>
            <w:tcW w:w="0" w:type="auto"/>
            <w:vAlign w:val="center"/>
            <w:hideMark/>
          </w:tcPr>
          <w:p w14:paraId="6AD98A35"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Setor de Compras</w:t>
            </w:r>
          </w:p>
        </w:tc>
      </w:tr>
      <w:tr w:rsidR="00133AA8" w:rsidRPr="00133AA8" w14:paraId="19DBBE38" w14:textId="77777777" w:rsidTr="00B76A5A">
        <w:tc>
          <w:tcPr>
            <w:cnfStyle w:val="001000000000" w:firstRow="0" w:lastRow="0" w:firstColumn="1" w:lastColumn="0" w:oddVBand="0" w:evenVBand="0" w:oddHBand="0" w:evenHBand="0" w:firstRowFirstColumn="0" w:firstRowLastColumn="0" w:lastRowFirstColumn="0" w:lastRowLastColumn="0"/>
            <w:tcW w:w="704" w:type="dxa"/>
            <w:vAlign w:val="center"/>
            <w:hideMark/>
          </w:tcPr>
          <w:p w14:paraId="7F412E83" w14:textId="77777777" w:rsidR="00133AA8" w:rsidRPr="00133AA8" w:rsidRDefault="00133AA8" w:rsidP="00133AA8">
            <w:pPr>
              <w:jc w:val="center"/>
              <w:rPr>
                <w:rFonts w:cs="Times New Roman"/>
                <w:b w:val="0"/>
                <w:bCs w:val="0"/>
                <w:sz w:val="16"/>
                <w:szCs w:val="16"/>
              </w:rPr>
            </w:pPr>
            <w:r w:rsidRPr="00133AA8">
              <w:rPr>
                <w:rFonts w:cs="Times New Roman"/>
                <w:b w:val="0"/>
                <w:bCs w:val="0"/>
                <w:sz w:val="16"/>
                <w:szCs w:val="16"/>
              </w:rPr>
              <w:t>4</w:t>
            </w:r>
          </w:p>
        </w:tc>
        <w:tc>
          <w:tcPr>
            <w:tcW w:w="0" w:type="auto"/>
            <w:vAlign w:val="center"/>
            <w:hideMark/>
          </w:tcPr>
          <w:p w14:paraId="02A24EE1"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Inabilitação de fornecedores</w:t>
            </w:r>
          </w:p>
        </w:tc>
        <w:tc>
          <w:tcPr>
            <w:tcW w:w="0" w:type="auto"/>
            <w:vAlign w:val="center"/>
            <w:hideMark/>
          </w:tcPr>
          <w:p w14:paraId="27B8C7CF"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Documentação ou certificações de segurança e privacidade incompletas</w:t>
            </w:r>
          </w:p>
        </w:tc>
        <w:tc>
          <w:tcPr>
            <w:tcW w:w="0" w:type="auto"/>
            <w:vAlign w:val="center"/>
            <w:hideMark/>
          </w:tcPr>
          <w:p w14:paraId="76D62145"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Legal</w:t>
            </w:r>
          </w:p>
        </w:tc>
        <w:tc>
          <w:tcPr>
            <w:tcW w:w="0" w:type="auto"/>
            <w:vAlign w:val="center"/>
            <w:hideMark/>
          </w:tcPr>
          <w:p w14:paraId="0FC75971"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Seleção do Fornecedor</w:t>
            </w:r>
          </w:p>
        </w:tc>
        <w:tc>
          <w:tcPr>
            <w:tcW w:w="0" w:type="auto"/>
            <w:vAlign w:val="center"/>
            <w:hideMark/>
          </w:tcPr>
          <w:p w14:paraId="6DBF03D0"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Fornecedor</w:t>
            </w:r>
          </w:p>
        </w:tc>
        <w:tc>
          <w:tcPr>
            <w:tcW w:w="0" w:type="auto"/>
            <w:vAlign w:val="center"/>
            <w:hideMark/>
          </w:tcPr>
          <w:p w14:paraId="54023281"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Redução da competitividade e atraso no processo</w:t>
            </w:r>
          </w:p>
        </w:tc>
        <w:tc>
          <w:tcPr>
            <w:tcW w:w="0" w:type="auto"/>
            <w:vAlign w:val="center"/>
            <w:hideMark/>
          </w:tcPr>
          <w:p w14:paraId="73586716"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Média</w:t>
            </w:r>
          </w:p>
        </w:tc>
        <w:tc>
          <w:tcPr>
            <w:tcW w:w="0" w:type="auto"/>
            <w:vAlign w:val="center"/>
            <w:hideMark/>
          </w:tcPr>
          <w:p w14:paraId="2177AA3C"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Alta</w:t>
            </w:r>
          </w:p>
        </w:tc>
        <w:tc>
          <w:tcPr>
            <w:tcW w:w="0" w:type="auto"/>
            <w:vAlign w:val="center"/>
            <w:hideMark/>
          </w:tcPr>
          <w:p w14:paraId="06CA815D"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Exigir documentação completa e comprovação de conformidade com LGPD</w:t>
            </w:r>
          </w:p>
        </w:tc>
        <w:tc>
          <w:tcPr>
            <w:tcW w:w="0" w:type="auto"/>
            <w:vAlign w:val="center"/>
            <w:hideMark/>
          </w:tcPr>
          <w:p w14:paraId="21D17DCA"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Comissão de Licitação</w:t>
            </w:r>
          </w:p>
        </w:tc>
        <w:tc>
          <w:tcPr>
            <w:tcW w:w="0" w:type="auto"/>
            <w:vAlign w:val="center"/>
            <w:hideMark/>
          </w:tcPr>
          <w:p w14:paraId="7CD38047"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Prorrogar prazo para regularização documental</w:t>
            </w:r>
          </w:p>
        </w:tc>
        <w:tc>
          <w:tcPr>
            <w:tcW w:w="0" w:type="auto"/>
            <w:vAlign w:val="center"/>
            <w:hideMark/>
          </w:tcPr>
          <w:p w14:paraId="58ED1216"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Comissão de Licitação</w:t>
            </w:r>
          </w:p>
        </w:tc>
      </w:tr>
      <w:tr w:rsidR="00133AA8" w:rsidRPr="00133AA8" w14:paraId="1DEB523A" w14:textId="77777777" w:rsidTr="00B76A5A">
        <w:tc>
          <w:tcPr>
            <w:cnfStyle w:val="001000000000" w:firstRow="0" w:lastRow="0" w:firstColumn="1" w:lastColumn="0" w:oddVBand="0" w:evenVBand="0" w:oddHBand="0" w:evenHBand="0" w:firstRowFirstColumn="0" w:firstRowLastColumn="0" w:lastRowFirstColumn="0" w:lastRowLastColumn="0"/>
            <w:tcW w:w="704" w:type="dxa"/>
            <w:vAlign w:val="center"/>
            <w:hideMark/>
          </w:tcPr>
          <w:p w14:paraId="1E1D3739" w14:textId="77777777" w:rsidR="00133AA8" w:rsidRPr="00133AA8" w:rsidRDefault="00133AA8" w:rsidP="00133AA8">
            <w:pPr>
              <w:jc w:val="center"/>
              <w:rPr>
                <w:rFonts w:cs="Times New Roman"/>
                <w:b w:val="0"/>
                <w:bCs w:val="0"/>
                <w:sz w:val="16"/>
                <w:szCs w:val="16"/>
              </w:rPr>
            </w:pPr>
            <w:r w:rsidRPr="00133AA8">
              <w:rPr>
                <w:rFonts w:cs="Times New Roman"/>
                <w:b w:val="0"/>
                <w:bCs w:val="0"/>
                <w:sz w:val="16"/>
                <w:szCs w:val="16"/>
              </w:rPr>
              <w:t>5</w:t>
            </w:r>
          </w:p>
        </w:tc>
        <w:tc>
          <w:tcPr>
            <w:tcW w:w="0" w:type="auto"/>
            <w:vAlign w:val="center"/>
            <w:hideMark/>
          </w:tcPr>
          <w:p w14:paraId="61DC471E"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Ausência de propostas válidas</w:t>
            </w:r>
          </w:p>
        </w:tc>
        <w:tc>
          <w:tcPr>
            <w:tcW w:w="0" w:type="auto"/>
            <w:vAlign w:val="center"/>
            <w:hideMark/>
          </w:tcPr>
          <w:p w14:paraId="5AA139B1"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Baixa atratividade do objeto ou exigências excessivas</w:t>
            </w:r>
          </w:p>
        </w:tc>
        <w:tc>
          <w:tcPr>
            <w:tcW w:w="0" w:type="auto"/>
            <w:vAlign w:val="center"/>
            <w:hideMark/>
          </w:tcPr>
          <w:p w14:paraId="762F1570"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Estratégico</w:t>
            </w:r>
          </w:p>
        </w:tc>
        <w:tc>
          <w:tcPr>
            <w:tcW w:w="0" w:type="auto"/>
            <w:vAlign w:val="center"/>
            <w:hideMark/>
          </w:tcPr>
          <w:p w14:paraId="0756573D"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Seleção do Fornecedor</w:t>
            </w:r>
          </w:p>
        </w:tc>
        <w:tc>
          <w:tcPr>
            <w:tcW w:w="0" w:type="auto"/>
            <w:vAlign w:val="center"/>
            <w:hideMark/>
          </w:tcPr>
          <w:p w14:paraId="165D61DB"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Mercado</w:t>
            </w:r>
          </w:p>
        </w:tc>
        <w:tc>
          <w:tcPr>
            <w:tcW w:w="0" w:type="auto"/>
            <w:vAlign w:val="center"/>
            <w:hideMark/>
          </w:tcPr>
          <w:p w14:paraId="177FC5DC"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Licitação deserta</w:t>
            </w:r>
          </w:p>
        </w:tc>
        <w:tc>
          <w:tcPr>
            <w:tcW w:w="0" w:type="auto"/>
            <w:vAlign w:val="center"/>
            <w:hideMark/>
          </w:tcPr>
          <w:p w14:paraId="1BD63E59"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Média</w:t>
            </w:r>
          </w:p>
        </w:tc>
        <w:tc>
          <w:tcPr>
            <w:tcW w:w="0" w:type="auto"/>
            <w:vAlign w:val="center"/>
            <w:hideMark/>
          </w:tcPr>
          <w:p w14:paraId="0522A35E"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Alta</w:t>
            </w:r>
          </w:p>
        </w:tc>
        <w:tc>
          <w:tcPr>
            <w:tcW w:w="0" w:type="auto"/>
            <w:vAlign w:val="center"/>
            <w:hideMark/>
          </w:tcPr>
          <w:p w14:paraId="1CE2081F"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Adequar requisitos, detalhar benefícios e divulgar amplamente</w:t>
            </w:r>
          </w:p>
        </w:tc>
        <w:tc>
          <w:tcPr>
            <w:tcW w:w="0" w:type="auto"/>
            <w:vAlign w:val="center"/>
            <w:hideMark/>
          </w:tcPr>
          <w:p w14:paraId="265E3EDE"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Comissão de Licitação</w:t>
            </w:r>
          </w:p>
        </w:tc>
        <w:tc>
          <w:tcPr>
            <w:tcW w:w="0" w:type="auto"/>
            <w:vAlign w:val="center"/>
            <w:hideMark/>
          </w:tcPr>
          <w:p w14:paraId="089E8792"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Readequar TR e republicar processo</w:t>
            </w:r>
          </w:p>
        </w:tc>
        <w:tc>
          <w:tcPr>
            <w:tcW w:w="0" w:type="auto"/>
            <w:vAlign w:val="center"/>
            <w:hideMark/>
          </w:tcPr>
          <w:p w14:paraId="44C39300"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Comissão de Licitação</w:t>
            </w:r>
          </w:p>
        </w:tc>
      </w:tr>
      <w:tr w:rsidR="00133AA8" w:rsidRPr="00133AA8" w14:paraId="49298819" w14:textId="77777777" w:rsidTr="00B76A5A">
        <w:tc>
          <w:tcPr>
            <w:cnfStyle w:val="001000000000" w:firstRow="0" w:lastRow="0" w:firstColumn="1" w:lastColumn="0" w:oddVBand="0" w:evenVBand="0" w:oddHBand="0" w:evenHBand="0" w:firstRowFirstColumn="0" w:firstRowLastColumn="0" w:lastRowFirstColumn="0" w:lastRowLastColumn="0"/>
            <w:tcW w:w="704" w:type="dxa"/>
            <w:vAlign w:val="center"/>
            <w:hideMark/>
          </w:tcPr>
          <w:p w14:paraId="67BE2BC6" w14:textId="77777777" w:rsidR="00133AA8" w:rsidRPr="00133AA8" w:rsidRDefault="00133AA8" w:rsidP="00133AA8">
            <w:pPr>
              <w:jc w:val="center"/>
              <w:rPr>
                <w:rFonts w:cs="Times New Roman"/>
                <w:b w:val="0"/>
                <w:bCs w:val="0"/>
                <w:sz w:val="16"/>
                <w:szCs w:val="16"/>
              </w:rPr>
            </w:pPr>
            <w:r w:rsidRPr="00133AA8">
              <w:rPr>
                <w:rFonts w:cs="Times New Roman"/>
                <w:b w:val="0"/>
                <w:bCs w:val="0"/>
                <w:sz w:val="16"/>
                <w:szCs w:val="16"/>
              </w:rPr>
              <w:t>6</w:t>
            </w:r>
          </w:p>
        </w:tc>
        <w:tc>
          <w:tcPr>
            <w:tcW w:w="0" w:type="auto"/>
            <w:vAlign w:val="center"/>
            <w:hideMark/>
          </w:tcPr>
          <w:p w14:paraId="05A22752"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Integração inadequada com sistemas internos</w:t>
            </w:r>
          </w:p>
        </w:tc>
        <w:tc>
          <w:tcPr>
            <w:tcW w:w="0" w:type="auto"/>
            <w:vAlign w:val="center"/>
            <w:hideMark/>
          </w:tcPr>
          <w:p w14:paraId="38CB26D8"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Falta de compatibilidade técnica ou APIs indisponíveis</w:t>
            </w:r>
          </w:p>
        </w:tc>
        <w:tc>
          <w:tcPr>
            <w:tcW w:w="0" w:type="auto"/>
            <w:vAlign w:val="center"/>
            <w:hideMark/>
          </w:tcPr>
          <w:p w14:paraId="649DECD5"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Técnico</w:t>
            </w:r>
          </w:p>
        </w:tc>
        <w:tc>
          <w:tcPr>
            <w:tcW w:w="0" w:type="auto"/>
            <w:vAlign w:val="center"/>
            <w:hideMark/>
          </w:tcPr>
          <w:p w14:paraId="19938258"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Gestão/Fiscalização do Contrato</w:t>
            </w:r>
          </w:p>
        </w:tc>
        <w:tc>
          <w:tcPr>
            <w:tcW w:w="0" w:type="auto"/>
            <w:vAlign w:val="center"/>
            <w:hideMark/>
          </w:tcPr>
          <w:p w14:paraId="4AFC3113"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Fornecedor</w:t>
            </w:r>
          </w:p>
        </w:tc>
        <w:tc>
          <w:tcPr>
            <w:tcW w:w="0" w:type="auto"/>
            <w:vAlign w:val="center"/>
            <w:hideMark/>
          </w:tcPr>
          <w:p w14:paraId="47F38E34"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Sistema não funciona com sistemas existentes, prejudicando operações</w:t>
            </w:r>
          </w:p>
        </w:tc>
        <w:tc>
          <w:tcPr>
            <w:tcW w:w="0" w:type="auto"/>
            <w:vAlign w:val="center"/>
            <w:hideMark/>
          </w:tcPr>
          <w:p w14:paraId="65A334BC"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Média</w:t>
            </w:r>
          </w:p>
        </w:tc>
        <w:tc>
          <w:tcPr>
            <w:tcW w:w="0" w:type="auto"/>
            <w:vAlign w:val="center"/>
            <w:hideMark/>
          </w:tcPr>
          <w:p w14:paraId="412AF3F4"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Alta</w:t>
            </w:r>
          </w:p>
        </w:tc>
        <w:tc>
          <w:tcPr>
            <w:tcW w:w="0" w:type="auto"/>
            <w:vAlign w:val="center"/>
            <w:hideMark/>
          </w:tcPr>
          <w:p w14:paraId="27DDA172"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Validar requisitos de integração e compatibilidade antes da contratação</w:t>
            </w:r>
          </w:p>
        </w:tc>
        <w:tc>
          <w:tcPr>
            <w:tcW w:w="0" w:type="auto"/>
            <w:vAlign w:val="center"/>
            <w:hideMark/>
          </w:tcPr>
          <w:p w14:paraId="7C876907"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Fiscal do Contrato</w:t>
            </w:r>
          </w:p>
        </w:tc>
        <w:tc>
          <w:tcPr>
            <w:tcW w:w="0" w:type="auto"/>
            <w:vAlign w:val="center"/>
            <w:hideMark/>
          </w:tcPr>
          <w:p w14:paraId="71D530D8"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Desenvolver soluções de integração adicionais ou suporte técnico</w:t>
            </w:r>
          </w:p>
        </w:tc>
        <w:tc>
          <w:tcPr>
            <w:tcW w:w="0" w:type="auto"/>
            <w:vAlign w:val="center"/>
            <w:hideMark/>
          </w:tcPr>
          <w:p w14:paraId="1ABFBFB0"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Fornecedor / Fiscal</w:t>
            </w:r>
          </w:p>
        </w:tc>
      </w:tr>
      <w:tr w:rsidR="00133AA8" w:rsidRPr="00133AA8" w14:paraId="262EA54A" w14:textId="77777777" w:rsidTr="00B76A5A">
        <w:tc>
          <w:tcPr>
            <w:cnfStyle w:val="001000000000" w:firstRow="0" w:lastRow="0" w:firstColumn="1" w:lastColumn="0" w:oddVBand="0" w:evenVBand="0" w:oddHBand="0" w:evenHBand="0" w:firstRowFirstColumn="0" w:firstRowLastColumn="0" w:lastRowFirstColumn="0" w:lastRowLastColumn="0"/>
            <w:tcW w:w="704" w:type="dxa"/>
            <w:vAlign w:val="center"/>
            <w:hideMark/>
          </w:tcPr>
          <w:p w14:paraId="5956F3A8" w14:textId="77777777" w:rsidR="00133AA8" w:rsidRPr="00133AA8" w:rsidRDefault="00133AA8" w:rsidP="00133AA8">
            <w:pPr>
              <w:jc w:val="center"/>
              <w:rPr>
                <w:rFonts w:cs="Times New Roman"/>
                <w:b w:val="0"/>
                <w:bCs w:val="0"/>
                <w:sz w:val="16"/>
                <w:szCs w:val="16"/>
              </w:rPr>
            </w:pPr>
            <w:r w:rsidRPr="00133AA8">
              <w:rPr>
                <w:rFonts w:cs="Times New Roman"/>
                <w:b w:val="0"/>
                <w:bCs w:val="0"/>
                <w:sz w:val="16"/>
                <w:szCs w:val="16"/>
              </w:rPr>
              <w:t>7</w:t>
            </w:r>
          </w:p>
        </w:tc>
        <w:tc>
          <w:tcPr>
            <w:tcW w:w="0" w:type="auto"/>
            <w:vAlign w:val="center"/>
            <w:hideMark/>
          </w:tcPr>
          <w:p w14:paraId="77CE664B"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 xml:space="preserve">Falhas de segurança e confidencialidade </w:t>
            </w:r>
            <w:r w:rsidRPr="00133AA8">
              <w:rPr>
                <w:rFonts w:cs="Times New Roman"/>
                <w:sz w:val="16"/>
                <w:szCs w:val="16"/>
              </w:rPr>
              <w:lastRenderedPageBreak/>
              <w:t>de dados</w:t>
            </w:r>
          </w:p>
        </w:tc>
        <w:tc>
          <w:tcPr>
            <w:tcW w:w="0" w:type="auto"/>
            <w:vAlign w:val="center"/>
            <w:hideMark/>
          </w:tcPr>
          <w:p w14:paraId="44374B86"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lastRenderedPageBreak/>
              <w:t xml:space="preserve">Ausência de protocolos de </w:t>
            </w:r>
            <w:r w:rsidRPr="00133AA8">
              <w:rPr>
                <w:rFonts w:cs="Times New Roman"/>
                <w:sz w:val="16"/>
                <w:szCs w:val="16"/>
              </w:rPr>
              <w:lastRenderedPageBreak/>
              <w:t>segurança ou criptografia insuficiente</w:t>
            </w:r>
          </w:p>
        </w:tc>
        <w:tc>
          <w:tcPr>
            <w:tcW w:w="0" w:type="auto"/>
            <w:vAlign w:val="center"/>
            <w:hideMark/>
          </w:tcPr>
          <w:p w14:paraId="18592C53"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lastRenderedPageBreak/>
              <w:t>Legal/Técnico</w:t>
            </w:r>
          </w:p>
        </w:tc>
        <w:tc>
          <w:tcPr>
            <w:tcW w:w="0" w:type="auto"/>
            <w:vAlign w:val="center"/>
            <w:hideMark/>
          </w:tcPr>
          <w:p w14:paraId="30061B0F"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Gestão/Fiscalização do Contrato</w:t>
            </w:r>
          </w:p>
        </w:tc>
        <w:tc>
          <w:tcPr>
            <w:tcW w:w="0" w:type="auto"/>
            <w:vAlign w:val="center"/>
            <w:hideMark/>
          </w:tcPr>
          <w:p w14:paraId="7548DD0C"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Fornecedor</w:t>
            </w:r>
          </w:p>
        </w:tc>
        <w:tc>
          <w:tcPr>
            <w:tcW w:w="0" w:type="auto"/>
            <w:vAlign w:val="center"/>
            <w:hideMark/>
          </w:tcPr>
          <w:p w14:paraId="075503F5"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 xml:space="preserve">Vazamento de informações </w:t>
            </w:r>
            <w:r w:rsidRPr="00133AA8">
              <w:rPr>
                <w:rFonts w:cs="Times New Roman"/>
                <w:sz w:val="16"/>
                <w:szCs w:val="16"/>
              </w:rPr>
              <w:lastRenderedPageBreak/>
              <w:t>sensíveis, penalidades legais</w:t>
            </w:r>
          </w:p>
        </w:tc>
        <w:tc>
          <w:tcPr>
            <w:tcW w:w="0" w:type="auto"/>
            <w:vAlign w:val="center"/>
            <w:hideMark/>
          </w:tcPr>
          <w:p w14:paraId="63858560"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lastRenderedPageBreak/>
              <w:t>Média</w:t>
            </w:r>
          </w:p>
        </w:tc>
        <w:tc>
          <w:tcPr>
            <w:tcW w:w="0" w:type="auto"/>
            <w:vAlign w:val="center"/>
            <w:hideMark/>
          </w:tcPr>
          <w:p w14:paraId="145A96A2"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Alta</w:t>
            </w:r>
          </w:p>
        </w:tc>
        <w:tc>
          <w:tcPr>
            <w:tcW w:w="0" w:type="auto"/>
            <w:vAlign w:val="center"/>
            <w:hideMark/>
          </w:tcPr>
          <w:p w14:paraId="725187C3"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 xml:space="preserve">Exigir cláusulas contratuais de </w:t>
            </w:r>
            <w:r w:rsidRPr="00133AA8">
              <w:rPr>
                <w:rFonts w:cs="Times New Roman"/>
                <w:sz w:val="16"/>
                <w:szCs w:val="16"/>
              </w:rPr>
              <w:lastRenderedPageBreak/>
              <w:t>proteção de dados e conformidade com LGPD</w:t>
            </w:r>
          </w:p>
        </w:tc>
        <w:tc>
          <w:tcPr>
            <w:tcW w:w="0" w:type="auto"/>
            <w:vAlign w:val="center"/>
            <w:hideMark/>
          </w:tcPr>
          <w:p w14:paraId="3CD2258C"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lastRenderedPageBreak/>
              <w:t xml:space="preserve">Jurídico e Fiscal do </w:t>
            </w:r>
            <w:r w:rsidRPr="00133AA8">
              <w:rPr>
                <w:rFonts w:cs="Times New Roman"/>
                <w:sz w:val="16"/>
                <w:szCs w:val="16"/>
              </w:rPr>
              <w:lastRenderedPageBreak/>
              <w:t>Contrato</w:t>
            </w:r>
          </w:p>
        </w:tc>
        <w:tc>
          <w:tcPr>
            <w:tcW w:w="0" w:type="auto"/>
            <w:vAlign w:val="center"/>
            <w:hideMark/>
          </w:tcPr>
          <w:p w14:paraId="64F7404D"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lastRenderedPageBreak/>
              <w:t xml:space="preserve">Aplicação de sanções </w:t>
            </w:r>
            <w:r w:rsidRPr="00133AA8">
              <w:rPr>
                <w:rFonts w:cs="Times New Roman"/>
                <w:sz w:val="16"/>
                <w:szCs w:val="16"/>
              </w:rPr>
              <w:lastRenderedPageBreak/>
              <w:t>contratuais e notificação às autoridades</w:t>
            </w:r>
          </w:p>
        </w:tc>
        <w:tc>
          <w:tcPr>
            <w:tcW w:w="0" w:type="auto"/>
            <w:vAlign w:val="center"/>
            <w:hideMark/>
          </w:tcPr>
          <w:p w14:paraId="7C6ABF02"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lastRenderedPageBreak/>
              <w:t>Jurídico / Fiscal</w:t>
            </w:r>
          </w:p>
        </w:tc>
      </w:tr>
      <w:tr w:rsidR="00133AA8" w:rsidRPr="00133AA8" w14:paraId="6A821ADE" w14:textId="77777777" w:rsidTr="00B76A5A">
        <w:tc>
          <w:tcPr>
            <w:cnfStyle w:val="001000000000" w:firstRow="0" w:lastRow="0" w:firstColumn="1" w:lastColumn="0" w:oddVBand="0" w:evenVBand="0" w:oddHBand="0" w:evenHBand="0" w:firstRowFirstColumn="0" w:firstRowLastColumn="0" w:lastRowFirstColumn="0" w:lastRowLastColumn="0"/>
            <w:tcW w:w="704" w:type="dxa"/>
            <w:vAlign w:val="center"/>
            <w:hideMark/>
          </w:tcPr>
          <w:p w14:paraId="6687E192" w14:textId="77777777" w:rsidR="00133AA8" w:rsidRPr="00133AA8" w:rsidRDefault="00133AA8" w:rsidP="00133AA8">
            <w:pPr>
              <w:jc w:val="center"/>
              <w:rPr>
                <w:rFonts w:cs="Times New Roman"/>
                <w:b w:val="0"/>
                <w:bCs w:val="0"/>
                <w:sz w:val="16"/>
                <w:szCs w:val="16"/>
              </w:rPr>
            </w:pPr>
            <w:r w:rsidRPr="00133AA8">
              <w:rPr>
                <w:rFonts w:cs="Times New Roman"/>
                <w:b w:val="0"/>
                <w:bCs w:val="0"/>
                <w:sz w:val="16"/>
                <w:szCs w:val="16"/>
              </w:rPr>
              <w:t>8</w:t>
            </w:r>
          </w:p>
        </w:tc>
        <w:tc>
          <w:tcPr>
            <w:tcW w:w="0" w:type="auto"/>
            <w:vAlign w:val="center"/>
            <w:hideMark/>
          </w:tcPr>
          <w:p w14:paraId="05E58824"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Interrupção do serviço / indisponibilidade da ferramenta</w:t>
            </w:r>
          </w:p>
        </w:tc>
        <w:tc>
          <w:tcPr>
            <w:tcW w:w="0" w:type="auto"/>
            <w:vAlign w:val="center"/>
            <w:hideMark/>
          </w:tcPr>
          <w:p w14:paraId="51A48858"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Instabilidade do servidor ou manutenção não planejada</w:t>
            </w:r>
          </w:p>
        </w:tc>
        <w:tc>
          <w:tcPr>
            <w:tcW w:w="0" w:type="auto"/>
            <w:vAlign w:val="center"/>
            <w:hideMark/>
          </w:tcPr>
          <w:p w14:paraId="300F8BCF"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Técnico</w:t>
            </w:r>
          </w:p>
        </w:tc>
        <w:tc>
          <w:tcPr>
            <w:tcW w:w="0" w:type="auto"/>
            <w:vAlign w:val="center"/>
            <w:hideMark/>
          </w:tcPr>
          <w:p w14:paraId="5F7356FE"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Gestão/Fiscalização do Contrato</w:t>
            </w:r>
          </w:p>
        </w:tc>
        <w:tc>
          <w:tcPr>
            <w:tcW w:w="0" w:type="auto"/>
            <w:vAlign w:val="center"/>
            <w:hideMark/>
          </w:tcPr>
          <w:p w14:paraId="66DD4376"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Fornecedor</w:t>
            </w:r>
          </w:p>
        </w:tc>
        <w:tc>
          <w:tcPr>
            <w:tcW w:w="0" w:type="auto"/>
            <w:vAlign w:val="center"/>
            <w:hideMark/>
          </w:tcPr>
          <w:p w14:paraId="5171E301"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Paralisação das atividades administrativas dependentes do sistema</w:t>
            </w:r>
          </w:p>
        </w:tc>
        <w:tc>
          <w:tcPr>
            <w:tcW w:w="0" w:type="auto"/>
            <w:vAlign w:val="center"/>
            <w:hideMark/>
          </w:tcPr>
          <w:p w14:paraId="191E6EBD"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Média</w:t>
            </w:r>
          </w:p>
        </w:tc>
        <w:tc>
          <w:tcPr>
            <w:tcW w:w="0" w:type="auto"/>
            <w:vAlign w:val="center"/>
            <w:hideMark/>
          </w:tcPr>
          <w:p w14:paraId="3F8B062D"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Média</w:t>
            </w:r>
          </w:p>
        </w:tc>
        <w:tc>
          <w:tcPr>
            <w:tcW w:w="0" w:type="auto"/>
            <w:vAlign w:val="center"/>
            <w:hideMark/>
          </w:tcPr>
          <w:p w14:paraId="5378CB0E"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Estabelecer SLA mínimo de disponibilidade e plano de contingência</w:t>
            </w:r>
          </w:p>
        </w:tc>
        <w:tc>
          <w:tcPr>
            <w:tcW w:w="0" w:type="auto"/>
            <w:vAlign w:val="center"/>
            <w:hideMark/>
          </w:tcPr>
          <w:p w14:paraId="5C12C8B4"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Fiscal do Contrato</w:t>
            </w:r>
          </w:p>
        </w:tc>
        <w:tc>
          <w:tcPr>
            <w:tcW w:w="0" w:type="auto"/>
            <w:vAlign w:val="center"/>
            <w:hideMark/>
          </w:tcPr>
          <w:p w14:paraId="57AA7B74"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Acionar suporte técnico emergencial e plano alternativo de trabalho</w:t>
            </w:r>
          </w:p>
        </w:tc>
        <w:tc>
          <w:tcPr>
            <w:tcW w:w="0" w:type="auto"/>
            <w:vAlign w:val="center"/>
            <w:hideMark/>
          </w:tcPr>
          <w:p w14:paraId="424EF7B8" w14:textId="77777777" w:rsidR="00133AA8" w:rsidRPr="00133AA8" w:rsidRDefault="00133AA8" w:rsidP="00133AA8">
            <w:pPr>
              <w:jc w:val="center"/>
              <w:cnfStyle w:val="000000000000" w:firstRow="0" w:lastRow="0" w:firstColumn="0" w:lastColumn="0" w:oddVBand="0" w:evenVBand="0" w:oddHBand="0" w:evenHBand="0" w:firstRowFirstColumn="0" w:firstRowLastColumn="0" w:lastRowFirstColumn="0" w:lastRowLastColumn="0"/>
              <w:rPr>
                <w:rFonts w:cs="Times New Roman"/>
                <w:sz w:val="16"/>
                <w:szCs w:val="16"/>
              </w:rPr>
            </w:pPr>
            <w:r w:rsidRPr="00133AA8">
              <w:rPr>
                <w:rFonts w:cs="Times New Roman"/>
                <w:sz w:val="16"/>
                <w:szCs w:val="16"/>
              </w:rPr>
              <w:t>Fornecedor / Fiscal</w:t>
            </w:r>
          </w:p>
        </w:tc>
      </w:tr>
    </w:tbl>
    <w:p w14:paraId="7CB5A520" w14:textId="77777777" w:rsidR="00EC6244" w:rsidRDefault="00EC6244" w:rsidP="00C85F6F">
      <w:pPr>
        <w:rPr>
          <w:rFonts w:cs="Times New Roman"/>
          <w:b/>
          <w:bCs/>
        </w:rPr>
      </w:pPr>
    </w:p>
    <w:p w14:paraId="5F8CBB54" w14:textId="77777777" w:rsidR="00EC6244" w:rsidRDefault="00EC6244" w:rsidP="00C85F6F">
      <w:pPr>
        <w:rPr>
          <w:rFonts w:cs="Times New Roman"/>
          <w:b/>
          <w:bCs/>
        </w:rPr>
      </w:pPr>
    </w:p>
    <w:p w14:paraId="34FB655A" w14:textId="77777777" w:rsidR="00B871C8" w:rsidRDefault="00B871C8" w:rsidP="00C85F6F">
      <w:pPr>
        <w:rPr>
          <w:rFonts w:cs="Times New Roman"/>
          <w:b/>
          <w:bCs/>
        </w:rPr>
        <w:sectPr w:rsidR="00B871C8" w:rsidSect="0098394B">
          <w:pgSz w:w="16838" w:h="11906" w:orient="landscape"/>
          <w:pgMar w:top="1701" w:right="1701" w:bottom="1276" w:left="1418" w:header="0" w:footer="0" w:gutter="0"/>
          <w:cols w:space="708"/>
          <w:docGrid w:linePitch="360"/>
        </w:sectPr>
      </w:pPr>
    </w:p>
    <w:p w14:paraId="2B6BED63" w14:textId="77777777" w:rsidR="00EC6244" w:rsidRPr="001635D0" w:rsidRDefault="00EC6244" w:rsidP="00EC6244">
      <w:pPr>
        <w:jc w:val="both"/>
        <w:rPr>
          <w:rFonts w:cs="Times New Roman"/>
          <w:b/>
          <w:bCs/>
          <w:u w:val="single"/>
        </w:rPr>
      </w:pPr>
      <w:r w:rsidRPr="001635D0">
        <w:rPr>
          <w:rFonts w:cs="Times New Roman"/>
          <w:b/>
          <w:bCs/>
          <w:u w:val="single"/>
        </w:rPr>
        <w:lastRenderedPageBreak/>
        <w:t>Metodologia aplicada:</w:t>
      </w:r>
    </w:p>
    <w:p w14:paraId="667EB193" w14:textId="77777777" w:rsidR="00EC6244" w:rsidRPr="001635D0" w:rsidRDefault="00EC6244" w:rsidP="00EC6244">
      <w:pPr>
        <w:jc w:val="both"/>
        <w:rPr>
          <w:rFonts w:cs="Times New Roman"/>
          <w:b/>
          <w:bCs/>
          <w:u w:val="single"/>
        </w:rPr>
      </w:pPr>
    </w:p>
    <w:p w14:paraId="256F409A" w14:textId="77777777" w:rsidR="00EC6244" w:rsidRPr="001635D0" w:rsidRDefault="00EC6244" w:rsidP="00EC6244">
      <w:pPr>
        <w:jc w:val="both"/>
        <w:rPr>
          <w:rFonts w:cs="Times New Roman"/>
        </w:rPr>
      </w:pPr>
      <w:r w:rsidRPr="001635D0">
        <w:rPr>
          <w:rFonts w:cs="Times New Roman"/>
        </w:rPr>
        <w:t>As duas dimensões de uma Matriz de Riscos são compostas pela probabilidade e impacto.</w:t>
      </w:r>
    </w:p>
    <w:p w14:paraId="380E1283" w14:textId="77777777" w:rsidR="00EC6244" w:rsidRPr="001635D0" w:rsidRDefault="00EC6244" w:rsidP="00EC6244">
      <w:pPr>
        <w:jc w:val="both"/>
        <w:rPr>
          <w:rFonts w:cs="Times New Roman"/>
        </w:rPr>
      </w:pPr>
    </w:p>
    <w:p w14:paraId="0EE8F8C5" w14:textId="77777777" w:rsidR="00EC6244" w:rsidRPr="001635D0" w:rsidRDefault="00EC6244" w:rsidP="00EC6244">
      <w:pPr>
        <w:jc w:val="both"/>
        <w:rPr>
          <w:rFonts w:cs="Times New Roman"/>
        </w:rPr>
      </w:pPr>
      <w:r w:rsidRPr="001635D0">
        <w:rPr>
          <w:rFonts w:cs="Times New Roman"/>
        </w:rPr>
        <w:t xml:space="preserve">A </w:t>
      </w:r>
      <w:r w:rsidRPr="001635D0">
        <w:rPr>
          <w:rFonts w:cs="Times New Roman"/>
          <w:b/>
          <w:bCs/>
          <w:u w:val="single"/>
        </w:rPr>
        <w:t>probabilidade</w:t>
      </w:r>
      <w:r w:rsidRPr="001635D0">
        <w:rPr>
          <w:rFonts w:cs="Times New Roman"/>
        </w:rPr>
        <w:t xml:space="preserve"> (eixo vertical) consiste na medição de o quão provável é a ocorrência do risco. Para fins da matriz de alocação de riscos foi considerado o histórico de acontecimentos em contratações semelhantes considerado o mesmo período estipulado e não quanto ao resultado esperado (pretendido) pela Administração, de modo que os mesmos devem ser trabalhados para que ocorreram cada vez menos. </w:t>
      </w:r>
    </w:p>
    <w:p w14:paraId="1A9C547E" w14:textId="77777777" w:rsidR="00EC6244" w:rsidRPr="001635D0" w:rsidRDefault="00EC6244" w:rsidP="00EC6244">
      <w:pPr>
        <w:jc w:val="both"/>
        <w:rPr>
          <w:rFonts w:cs="Times New Roman"/>
        </w:rPr>
      </w:pPr>
    </w:p>
    <w:p w14:paraId="7A621EB7" w14:textId="77777777" w:rsidR="00EC6244" w:rsidRPr="001635D0" w:rsidRDefault="00EC6244" w:rsidP="00EC6244">
      <w:pPr>
        <w:jc w:val="both"/>
        <w:rPr>
          <w:rFonts w:cs="Times New Roman"/>
        </w:rPr>
      </w:pPr>
      <w:r w:rsidRPr="001635D0">
        <w:rPr>
          <w:rFonts w:cs="Times New Roman"/>
        </w:rPr>
        <w:t>Descrição:</w:t>
      </w:r>
    </w:p>
    <w:p w14:paraId="2141547C" w14:textId="77777777" w:rsidR="00EC6244" w:rsidRPr="001635D0" w:rsidRDefault="00EC6244" w:rsidP="00EC6244">
      <w:pPr>
        <w:jc w:val="both"/>
        <w:rPr>
          <w:rFonts w:cs="Times New Roman"/>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2542"/>
        <w:gridCol w:w="4896"/>
      </w:tblGrid>
      <w:tr w:rsidR="00EC6244" w:rsidRPr="001635D0" w14:paraId="1CB77FC7" w14:textId="77777777" w:rsidTr="00B871C8">
        <w:trPr>
          <w:trHeight w:val="564"/>
        </w:trPr>
        <w:tc>
          <w:tcPr>
            <w:tcW w:w="4380" w:type="dxa"/>
            <w:gridSpan w:val="2"/>
            <w:shd w:val="clear" w:color="auto" w:fill="F2F2F2" w:themeFill="background1" w:themeFillShade="F2"/>
            <w:vAlign w:val="center"/>
            <w:hideMark/>
          </w:tcPr>
          <w:p w14:paraId="6252D237"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Probabilidade</w:t>
            </w:r>
          </w:p>
        </w:tc>
        <w:tc>
          <w:tcPr>
            <w:tcW w:w="4896" w:type="dxa"/>
            <w:vMerge w:val="restart"/>
            <w:shd w:val="clear" w:color="auto" w:fill="F2F2F2" w:themeFill="background1" w:themeFillShade="F2"/>
            <w:vAlign w:val="center"/>
            <w:hideMark/>
          </w:tcPr>
          <w:p w14:paraId="1E577886"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Descrição dos critérios de probabilidade</w:t>
            </w:r>
          </w:p>
        </w:tc>
      </w:tr>
      <w:tr w:rsidR="00EC6244" w:rsidRPr="001635D0" w14:paraId="1FDCED13" w14:textId="77777777" w:rsidTr="00B871C8">
        <w:trPr>
          <w:trHeight w:val="56"/>
        </w:trPr>
        <w:tc>
          <w:tcPr>
            <w:tcW w:w="1838" w:type="dxa"/>
            <w:shd w:val="clear" w:color="auto" w:fill="FFFFFF"/>
            <w:vAlign w:val="center"/>
            <w:hideMark/>
          </w:tcPr>
          <w:p w14:paraId="46ADB9A1"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Numérica</w:t>
            </w:r>
          </w:p>
        </w:tc>
        <w:tc>
          <w:tcPr>
            <w:tcW w:w="2542" w:type="dxa"/>
            <w:shd w:val="clear" w:color="auto" w:fill="FFFFFF"/>
            <w:vAlign w:val="center"/>
            <w:hideMark/>
          </w:tcPr>
          <w:p w14:paraId="11B72225"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Descritiva</w:t>
            </w:r>
          </w:p>
        </w:tc>
        <w:tc>
          <w:tcPr>
            <w:tcW w:w="4896" w:type="dxa"/>
            <w:vMerge/>
            <w:vAlign w:val="center"/>
            <w:hideMark/>
          </w:tcPr>
          <w:p w14:paraId="39A591F3" w14:textId="77777777" w:rsidR="00EC6244" w:rsidRPr="001635D0" w:rsidRDefault="00EC6244" w:rsidP="00972355">
            <w:pPr>
              <w:suppressAutoHyphens w:val="0"/>
              <w:spacing w:line="276" w:lineRule="auto"/>
              <w:rPr>
                <w:rFonts w:eastAsia="Times New Roman" w:cs="Times New Roman"/>
                <w:b/>
                <w:bCs/>
                <w:color w:val="2B2B2B"/>
                <w:lang w:eastAsia="pt-BR"/>
              </w:rPr>
            </w:pPr>
          </w:p>
        </w:tc>
      </w:tr>
      <w:tr w:rsidR="00EC6244" w:rsidRPr="001635D0" w14:paraId="258DAC23" w14:textId="77777777" w:rsidTr="00B871C8">
        <w:trPr>
          <w:trHeight w:val="56"/>
        </w:trPr>
        <w:tc>
          <w:tcPr>
            <w:tcW w:w="1838" w:type="dxa"/>
            <w:shd w:val="clear" w:color="auto" w:fill="FFFFFF"/>
            <w:vAlign w:val="center"/>
            <w:hideMark/>
          </w:tcPr>
          <w:p w14:paraId="797FA48D"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1% a 10%</w:t>
            </w:r>
          </w:p>
        </w:tc>
        <w:tc>
          <w:tcPr>
            <w:tcW w:w="2542" w:type="dxa"/>
            <w:shd w:val="clear" w:color="auto" w:fill="FFFFFF"/>
            <w:vAlign w:val="center"/>
            <w:hideMark/>
          </w:tcPr>
          <w:p w14:paraId="30D8AD55"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Muito baixa</w:t>
            </w:r>
          </w:p>
        </w:tc>
        <w:tc>
          <w:tcPr>
            <w:tcW w:w="4896" w:type="dxa"/>
            <w:shd w:val="clear" w:color="auto" w:fill="FFFFFF"/>
            <w:vAlign w:val="center"/>
            <w:hideMark/>
          </w:tcPr>
          <w:p w14:paraId="037E7651"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Não é provável que aconteça</w:t>
            </w:r>
          </w:p>
        </w:tc>
      </w:tr>
      <w:tr w:rsidR="00EC6244" w:rsidRPr="001635D0" w14:paraId="7DAB821D" w14:textId="77777777" w:rsidTr="00B871C8">
        <w:trPr>
          <w:trHeight w:val="56"/>
        </w:trPr>
        <w:tc>
          <w:tcPr>
            <w:tcW w:w="1838" w:type="dxa"/>
            <w:shd w:val="clear" w:color="auto" w:fill="FFFFFF"/>
            <w:vAlign w:val="center"/>
            <w:hideMark/>
          </w:tcPr>
          <w:p w14:paraId="471182B9"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11% a 30%</w:t>
            </w:r>
          </w:p>
        </w:tc>
        <w:tc>
          <w:tcPr>
            <w:tcW w:w="2542" w:type="dxa"/>
            <w:shd w:val="clear" w:color="auto" w:fill="FFFFFF"/>
            <w:vAlign w:val="center"/>
            <w:hideMark/>
          </w:tcPr>
          <w:p w14:paraId="05D0BC0B"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Baixa</w:t>
            </w:r>
          </w:p>
        </w:tc>
        <w:tc>
          <w:tcPr>
            <w:tcW w:w="4896" w:type="dxa"/>
            <w:shd w:val="clear" w:color="auto" w:fill="FFFFFF"/>
            <w:vAlign w:val="center"/>
            <w:hideMark/>
          </w:tcPr>
          <w:p w14:paraId="33CA9464"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Pode ser que ocorra de uma vez no período contratual</w:t>
            </w:r>
          </w:p>
        </w:tc>
      </w:tr>
      <w:tr w:rsidR="00EC6244" w:rsidRPr="001635D0" w14:paraId="45ECD53F" w14:textId="77777777" w:rsidTr="00B871C8">
        <w:trPr>
          <w:trHeight w:val="56"/>
        </w:trPr>
        <w:tc>
          <w:tcPr>
            <w:tcW w:w="1838" w:type="dxa"/>
            <w:shd w:val="clear" w:color="auto" w:fill="FFFFFF"/>
            <w:vAlign w:val="center"/>
            <w:hideMark/>
          </w:tcPr>
          <w:p w14:paraId="37AB7ECF"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31% a 50%</w:t>
            </w:r>
          </w:p>
        </w:tc>
        <w:tc>
          <w:tcPr>
            <w:tcW w:w="2542" w:type="dxa"/>
            <w:shd w:val="clear" w:color="auto" w:fill="FFFFFF"/>
            <w:vAlign w:val="center"/>
            <w:hideMark/>
          </w:tcPr>
          <w:p w14:paraId="492C90CF"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Moderada</w:t>
            </w:r>
          </w:p>
        </w:tc>
        <w:tc>
          <w:tcPr>
            <w:tcW w:w="4896" w:type="dxa"/>
            <w:shd w:val="clear" w:color="auto" w:fill="FFFFFF"/>
            <w:vAlign w:val="center"/>
            <w:hideMark/>
          </w:tcPr>
          <w:p w14:paraId="4DBC2539"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Pode ser que ocorra mais de uma vez no período contratual</w:t>
            </w:r>
          </w:p>
        </w:tc>
      </w:tr>
      <w:tr w:rsidR="00EC6244" w:rsidRPr="001635D0" w14:paraId="7D969C84" w14:textId="77777777" w:rsidTr="00B871C8">
        <w:trPr>
          <w:trHeight w:val="56"/>
        </w:trPr>
        <w:tc>
          <w:tcPr>
            <w:tcW w:w="1838" w:type="dxa"/>
            <w:shd w:val="clear" w:color="auto" w:fill="FFFFFF"/>
            <w:vAlign w:val="center"/>
            <w:hideMark/>
          </w:tcPr>
          <w:p w14:paraId="29BDAE0D"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51% a 70%</w:t>
            </w:r>
          </w:p>
        </w:tc>
        <w:tc>
          <w:tcPr>
            <w:tcW w:w="2542" w:type="dxa"/>
            <w:shd w:val="clear" w:color="auto" w:fill="FFFFFF"/>
            <w:vAlign w:val="center"/>
            <w:hideMark/>
          </w:tcPr>
          <w:p w14:paraId="6CCAEC3B"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Alta</w:t>
            </w:r>
          </w:p>
        </w:tc>
        <w:tc>
          <w:tcPr>
            <w:tcW w:w="4896" w:type="dxa"/>
            <w:shd w:val="clear" w:color="auto" w:fill="FFFFFF"/>
            <w:vAlign w:val="center"/>
            <w:hideMark/>
          </w:tcPr>
          <w:p w14:paraId="3FD58686"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Pode ser que ocorra até cinco vezes</w:t>
            </w:r>
          </w:p>
        </w:tc>
      </w:tr>
      <w:tr w:rsidR="00EC6244" w:rsidRPr="001635D0" w14:paraId="68F06E10" w14:textId="77777777" w:rsidTr="00B871C8">
        <w:trPr>
          <w:trHeight w:val="56"/>
        </w:trPr>
        <w:tc>
          <w:tcPr>
            <w:tcW w:w="1838" w:type="dxa"/>
            <w:shd w:val="clear" w:color="auto" w:fill="FFFFFF"/>
            <w:vAlign w:val="center"/>
            <w:hideMark/>
          </w:tcPr>
          <w:p w14:paraId="15FF6BFE"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71% a 90%</w:t>
            </w:r>
          </w:p>
        </w:tc>
        <w:tc>
          <w:tcPr>
            <w:tcW w:w="2542" w:type="dxa"/>
            <w:shd w:val="clear" w:color="auto" w:fill="FFFFFF"/>
            <w:vAlign w:val="center"/>
            <w:hideMark/>
          </w:tcPr>
          <w:p w14:paraId="02DEA274"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Muito alta</w:t>
            </w:r>
          </w:p>
        </w:tc>
        <w:tc>
          <w:tcPr>
            <w:tcW w:w="4896" w:type="dxa"/>
            <w:shd w:val="clear" w:color="auto" w:fill="FFFFFF"/>
            <w:vAlign w:val="center"/>
            <w:hideMark/>
          </w:tcPr>
          <w:p w14:paraId="320AF1F1" w14:textId="77777777" w:rsidR="00EC6244" w:rsidRPr="001635D0" w:rsidRDefault="00EC6244" w:rsidP="00972355">
            <w:pPr>
              <w:suppressAutoHyphens w:val="0"/>
              <w:spacing w:line="276" w:lineRule="auto"/>
              <w:jc w:val="center"/>
              <w:rPr>
                <w:rFonts w:cs="Times New Roman"/>
                <w:color w:val="2B2B2B"/>
                <w:lang w:eastAsia="pt-BR"/>
              </w:rPr>
            </w:pPr>
            <w:r w:rsidRPr="001635D0">
              <w:rPr>
                <w:rFonts w:cs="Times New Roman"/>
                <w:color w:val="2B2B2B"/>
                <w:lang w:eastAsia="pt-BR"/>
              </w:rPr>
              <w:t>Pode ser que ocorra mais de cinco vezes</w:t>
            </w:r>
          </w:p>
        </w:tc>
      </w:tr>
    </w:tbl>
    <w:p w14:paraId="6ABB3F8A" w14:textId="77777777" w:rsidR="00EC6244" w:rsidRPr="001635D0" w:rsidRDefault="00EC6244" w:rsidP="00EC6244">
      <w:pPr>
        <w:jc w:val="both"/>
        <w:rPr>
          <w:rFonts w:eastAsia="Times New Roman" w:cs="Times New Roman"/>
          <w:lang w:eastAsia="ar-SA"/>
        </w:rPr>
      </w:pPr>
    </w:p>
    <w:p w14:paraId="2C818845" w14:textId="77777777" w:rsidR="00EC6244" w:rsidRPr="001635D0" w:rsidRDefault="00EC6244" w:rsidP="00EC6244">
      <w:pPr>
        <w:jc w:val="both"/>
        <w:rPr>
          <w:rFonts w:cs="Times New Roman"/>
        </w:rPr>
      </w:pPr>
      <w:r w:rsidRPr="001635D0">
        <w:rPr>
          <w:rFonts w:cs="Times New Roman"/>
        </w:rPr>
        <w:t xml:space="preserve">O </w:t>
      </w:r>
      <w:r w:rsidRPr="001635D0">
        <w:rPr>
          <w:rFonts w:cs="Times New Roman"/>
          <w:b/>
          <w:bCs/>
          <w:u w:val="single"/>
        </w:rPr>
        <w:t>impacto</w:t>
      </w:r>
      <w:r w:rsidRPr="001635D0">
        <w:rPr>
          <w:rFonts w:cs="Times New Roman"/>
        </w:rPr>
        <w:t xml:space="preserve"> (eixo horizontal) se refere às consequências do risco caso ele vier a ocorrer, ou seja, quais serão os prejuízos ou danos causados caso o risco incida de fato. Os impactos relacionados na presente alocação referem-se aos possíveis danos decorrentes da ocorrência do risco, portanto, precisam ser minorados ao máximo possível. A definição da classificação dos impactos deu-se com base nas vivências e histórico local.</w:t>
      </w:r>
    </w:p>
    <w:p w14:paraId="00559191" w14:textId="77777777" w:rsidR="00EC6244" w:rsidRPr="001635D0" w:rsidRDefault="00EC6244" w:rsidP="00EC6244">
      <w:pPr>
        <w:jc w:val="both"/>
        <w:rPr>
          <w:rFonts w:cs="Times New Roman"/>
        </w:rPr>
      </w:pPr>
    </w:p>
    <w:p w14:paraId="6DBE1AA0" w14:textId="77777777" w:rsidR="00EC6244" w:rsidRPr="001635D0" w:rsidRDefault="00EC6244" w:rsidP="00EC6244">
      <w:pPr>
        <w:jc w:val="both"/>
        <w:rPr>
          <w:rFonts w:cs="Times New Roman"/>
        </w:rPr>
      </w:pPr>
      <w:r w:rsidRPr="001635D0">
        <w:rPr>
          <w:rFonts w:cs="Times New Roman"/>
        </w:rPr>
        <w:t>Descrição:</w:t>
      </w:r>
    </w:p>
    <w:p w14:paraId="311059BF" w14:textId="77777777" w:rsidR="00EC6244" w:rsidRPr="001635D0" w:rsidRDefault="00EC6244" w:rsidP="00EC6244">
      <w:pPr>
        <w:jc w:val="both"/>
        <w:rPr>
          <w:rFonts w:cs="Times New Roman"/>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8"/>
        <w:gridCol w:w="7088"/>
      </w:tblGrid>
      <w:tr w:rsidR="00EC6244" w:rsidRPr="001635D0" w14:paraId="4A851BDA"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4FD2B8"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Impacto</w:t>
            </w:r>
          </w:p>
        </w:tc>
        <w:tc>
          <w:tcPr>
            <w:tcW w:w="7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3D0FC" w14:textId="77777777" w:rsidR="00EC6244" w:rsidRPr="001635D0" w:rsidRDefault="00EC6244" w:rsidP="00972355">
            <w:pPr>
              <w:suppressAutoHyphens w:val="0"/>
              <w:spacing w:line="276" w:lineRule="auto"/>
              <w:jc w:val="center"/>
              <w:rPr>
                <w:rFonts w:cs="Times New Roman"/>
                <w:b/>
                <w:bCs/>
                <w:color w:val="2B2B2B"/>
                <w:lang w:eastAsia="pt-BR"/>
              </w:rPr>
            </w:pPr>
            <w:r w:rsidRPr="001635D0">
              <w:rPr>
                <w:rFonts w:cs="Times New Roman"/>
                <w:b/>
                <w:bCs/>
                <w:color w:val="2B2B2B"/>
                <w:lang w:eastAsia="pt-BR"/>
              </w:rPr>
              <w:t>Descrição dos critérios de impacto</w:t>
            </w:r>
          </w:p>
        </w:tc>
      </w:tr>
      <w:tr w:rsidR="00EC6244" w:rsidRPr="001635D0" w14:paraId="5F142729"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8A5EE5" w14:textId="77777777" w:rsidR="00EC6244" w:rsidRPr="00C41440" w:rsidRDefault="00EC6244" w:rsidP="00972355">
            <w:pPr>
              <w:suppressAutoHyphens w:val="0"/>
              <w:spacing w:line="276" w:lineRule="auto"/>
              <w:jc w:val="center"/>
              <w:rPr>
                <w:rFonts w:cs="Times New Roman"/>
                <w:color w:val="000000" w:themeColor="text1"/>
                <w:lang w:eastAsia="pt-BR"/>
              </w:rPr>
            </w:pPr>
            <w:r w:rsidRPr="00C41440">
              <w:rPr>
                <w:rFonts w:cs="Times New Roman"/>
                <w:color w:val="000000" w:themeColor="text1"/>
                <w:lang w:eastAsia="pt-BR"/>
              </w:rPr>
              <w:t>Muito baixo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677C31" w14:textId="77777777" w:rsidR="00EC6244" w:rsidRPr="00C41440" w:rsidRDefault="00EC6244" w:rsidP="00972355">
            <w:pPr>
              <w:suppressAutoHyphens w:val="0"/>
              <w:spacing w:line="276" w:lineRule="auto"/>
              <w:rPr>
                <w:rFonts w:cs="Times New Roman"/>
                <w:color w:val="000000" w:themeColor="text1"/>
                <w:lang w:eastAsia="pt-BR"/>
              </w:rPr>
            </w:pPr>
            <w:r w:rsidRPr="00C41440">
              <w:rPr>
                <w:rFonts w:cs="Times New Roman"/>
                <w:color w:val="000000" w:themeColor="text1"/>
                <w:lang w:eastAsia="pt-BR"/>
              </w:rPr>
              <w:t>Os riscos possuem consequências pouco significativas</w:t>
            </w:r>
          </w:p>
        </w:tc>
      </w:tr>
      <w:tr w:rsidR="00EC6244" w:rsidRPr="001635D0" w14:paraId="227892FA"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2F350D" w14:textId="77777777" w:rsidR="00EC6244" w:rsidRPr="00C41440" w:rsidRDefault="00EC6244" w:rsidP="00972355">
            <w:pPr>
              <w:suppressAutoHyphens w:val="0"/>
              <w:spacing w:line="276" w:lineRule="auto"/>
              <w:jc w:val="center"/>
              <w:rPr>
                <w:rFonts w:cs="Times New Roman"/>
                <w:color w:val="000000" w:themeColor="text1"/>
                <w:lang w:eastAsia="pt-BR"/>
              </w:rPr>
            </w:pPr>
            <w:r w:rsidRPr="00C41440">
              <w:rPr>
                <w:rFonts w:cs="Times New Roman"/>
                <w:color w:val="000000" w:themeColor="text1"/>
                <w:lang w:eastAsia="pt-BR"/>
              </w:rPr>
              <w:t>Baixo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12EF70" w14:textId="77777777" w:rsidR="00EC6244" w:rsidRPr="00C41440" w:rsidRDefault="00EC6244" w:rsidP="00972355">
            <w:pPr>
              <w:suppressAutoHyphens w:val="0"/>
              <w:spacing w:line="276" w:lineRule="auto"/>
              <w:rPr>
                <w:rFonts w:cs="Times New Roman"/>
                <w:color w:val="000000" w:themeColor="text1"/>
                <w:lang w:eastAsia="pt-BR"/>
              </w:rPr>
            </w:pPr>
            <w:r w:rsidRPr="00C41440">
              <w:rPr>
                <w:rFonts w:cs="Times New Roman"/>
                <w:color w:val="000000" w:themeColor="text1"/>
                <w:lang w:eastAsia="pt-BR"/>
              </w:rPr>
              <w:t>Os riscos possuem consequências reversíveis em curto e médio prazo com custos pouco significativos</w:t>
            </w:r>
          </w:p>
        </w:tc>
      </w:tr>
      <w:tr w:rsidR="00EC6244" w:rsidRPr="001635D0" w14:paraId="60C51EEC"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B3AE5" w14:textId="77777777" w:rsidR="00EC6244" w:rsidRPr="00C41440" w:rsidRDefault="00EC6244" w:rsidP="00972355">
            <w:pPr>
              <w:suppressAutoHyphens w:val="0"/>
              <w:spacing w:line="276" w:lineRule="auto"/>
              <w:jc w:val="center"/>
              <w:rPr>
                <w:rFonts w:cs="Times New Roman"/>
                <w:color w:val="000000" w:themeColor="text1"/>
                <w:lang w:eastAsia="pt-BR"/>
              </w:rPr>
            </w:pPr>
            <w:r w:rsidRPr="00C41440">
              <w:rPr>
                <w:rFonts w:cs="Times New Roman"/>
                <w:color w:val="000000" w:themeColor="text1"/>
                <w:lang w:eastAsia="pt-BR"/>
              </w:rPr>
              <w:t>Moderado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FF0DE6" w14:textId="77777777" w:rsidR="00EC6244" w:rsidRPr="00C41440" w:rsidRDefault="00EC6244" w:rsidP="00972355">
            <w:pPr>
              <w:suppressAutoHyphens w:val="0"/>
              <w:spacing w:line="276" w:lineRule="auto"/>
              <w:rPr>
                <w:rFonts w:cs="Times New Roman"/>
                <w:color w:val="000000" w:themeColor="text1"/>
                <w:lang w:eastAsia="pt-BR"/>
              </w:rPr>
            </w:pPr>
            <w:r w:rsidRPr="00C41440">
              <w:rPr>
                <w:rFonts w:cs="Times New Roman"/>
                <w:color w:val="000000" w:themeColor="text1"/>
                <w:lang w:eastAsia="pt-BR"/>
              </w:rPr>
              <w:t>Os riscos possuem consequências reversíveis em curto e médio prazo com custos baixos</w:t>
            </w:r>
          </w:p>
        </w:tc>
      </w:tr>
      <w:tr w:rsidR="00EC6244" w:rsidRPr="001635D0" w14:paraId="6D589905"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403302" w14:textId="77777777" w:rsidR="00EC6244" w:rsidRPr="00C41440" w:rsidRDefault="00EC6244" w:rsidP="00972355">
            <w:pPr>
              <w:suppressAutoHyphens w:val="0"/>
              <w:spacing w:line="276" w:lineRule="auto"/>
              <w:jc w:val="center"/>
              <w:rPr>
                <w:rFonts w:cs="Times New Roman"/>
                <w:color w:val="000000" w:themeColor="text1"/>
                <w:lang w:eastAsia="pt-BR"/>
              </w:rPr>
            </w:pPr>
            <w:r w:rsidRPr="00C41440">
              <w:rPr>
                <w:rFonts w:cs="Times New Roman"/>
                <w:color w:val="000000" w:themeColor="text1"/>
                <w:lang w:eastAsia="pt-BR"/>
              </w:rPr>
              <w:t>Alto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F17D17" w14:textId="77777777" w:rsidR="00EC6244" w:rsidRPr="00C41440" w:rsidRDefault="00EC6244" w:rsidP="00972355">
            <w:pPr>
              <w:suppressAutoHyphens w:val="0"/>
              <w:spacing w:line="276" w:lineRule="auto"/>
              <w:rPr>
                <w:rFonts w:cs="Times New Roman"/>
                <w:color w:val="000000" w:themeColor="text1"/>
                <w:lang w:eastAsia="pt-BR"/>
              </w:rPr>
            </w:pPr>
            <w:r w:rsidRPr="00C41440">
              <w:rPr>
                <w:rFonts w:cs="Times New Roman"/>
                <w:color w:val="000000" w:themeColor="text1"/>
                <w:lang w:eastAsia="pt-BR"/>
              </w:rPr>
              <w:t>Os riscos possuem consequências reversíveis em curto e médio prazo com custos altos</w:t>
            </w:r>
          </w:p>
        </w:tc>
      </w:tr>
      <w:tr w:rsidR="00EC6244" w:rsidRPr="001635D0" w14:paraId="1E9DC928"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F34176" w14:textId="77777777" w:rsidR="00EC6244" w:rsidRPr="00C41440" w:rsidRDefault="00EC6244" w:rsidP="00972355">
            <w:pPr>
              <w:suppressAutoHyphens w:val="0"/>
              <w:spacing w:line="276" w:lineRule="auto"/>
              <w:jc w:val="center"/>
              <w:rPr>
                <w:rFonts w:cs="Times New Roman"/>
                <w:color w:val="000000" w:themeColor="text1"/>
                <w:lang w:eastAsia="pt-BR"/>
              </w:rPr>
            </w:pPr>
            <w:r w:rsidRPr="00C41440">
              <w:rPr>
                <w:rFonts w:cs="Times New Roman"/>
                <w:color w:val="000000" w:themeColor="text1"/>
                <w:lang w:eastAsia="pt-BR"/>
              </w:rPr>
              <w:t>Muito alto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233464" w14:textId="77777777" w:rsidR="00EC6244" w:rsidRPr="00C41440" w:rsidRDefault="00EC6244" w:rsidP="00972355">
            <w:pPr>
              <w:suppressAutoHyphens w:val="0"/>
              <w:spacing w:line="276" w:lineRule="auto"/>
              <w:rPr>
                <w:rFonts w:cs="Times New Roman"/>
                <w:color w:val="000000" w:themeColor="text1"/>
                <w:lang w:eastAsia="pt-BR"/>
              </w:rPr>
            </w:pPr>
            <w:r w:rsidRPr="00C41440">
              <w:rPr>
                <w:rFonts w:cs="Times New Roman"/>
                <w:color w:val="000000" w:themeColor="text1"/>
                <w:lang w:eastAsia="pt-BR"/>
              </w:rPr>
              <w:t>Os riscos possuem consequências irreversíveis ou com custos inviáveis</w:t>
            </w:r>
          </w:p>
        </w:tc>
      </w:tr>
    </w:tbl>
    <w:p w14:paraId="263ABB6E" w14:textId="77777777" w:rsidR="00EC6244" w:rsidRPr="001635D0" w:rsidRDefault="00EC6244" w:rsidP="00EC6244">
      <w:pPr>
        <w:jc w:val="both"/>
        <w:rPr>
          <w:rFonts w:eastAsia="Times New Roman" w:cs="Times New Roman"/>
          <w:lang w:eastAsia="ar-SA"/>
        </w:rPr>
      </w:pPr>
    </w:p>
    <w:p w14:paraId="363531C5" w14:textId="77777777" w:rsidR="00EC6244" w:rsidRPr="001635D0" w:rsidRDefault="00EC6244" w:rsidP="00EC6244">
      <w:pPr>
        <w:jc w:val="both"/>
        <w:rPr>
          <w:rFonts w:cs="Times New Roman"/>
        </w:rPr>
      </w:pPr>
      <w:r w:rsidRPr="001635D0">
        <w:rPr>
          <w:rFonts w:cs="Times New Roman"/>
        </w:rPr>
        <w:t>Para fins de mensuração, melhor compreensão e visualização dos resultados resultantes dos possíveis riscos, se adotará o mapa de calor a qual tomou como base a probabilidade e impacto dos eventos, sendo:</w:t>
      </w:r>
    </w:p>
    <w:p w14:paraId="31C31EFF" w14:textId="77777777" w:rsidR="00EC6244" w:rsidRPr="001635D0" w:rsidRDefault="00EC6244" w:rsidP="00EC6244">
      <w:pPr>
        <w:jc w:val="both"/>
        <w:rPr>
          <w:rFonts w:cs="Times New Roman"/>
        </w:rPr>
      </w:pPr>
    </w:p>
    <w:tbl>
      <w:tblPr>
        <w:tblW w:w="6173" w:type="dxa"/>
        <w:jc w:val="center"/>
        <w:tblCellMar>
          <w:left w:w="70" w:type="dxa"/>
          <w:right w:w="70" w:type="dxa"/>
        </w:tblCellMar>
        <w:tblLook w:val="04A0" w:firstRow="1" w:lastRow="0" w:firstColumn="1" w:lastColumn="0" w:noHBand="0" w:noVBand="1"/>
      </w:tblPr>
      <w:tblGrid>
        <w:gridCol w:w="961"/>
        <w:gridCol w:w="1136"/>
        <w:gridCol w:w="754"/>
        <w:gridCol w:w="754"/>
        <w:gridCol w:w="1127"/>
        <w:gridCol w:w="754"/>
        <w:gridCol w:w="754"/>
      </w:tblGrid>
      <w:tr w:rsidR="00EC6244" w:rsidRPr="001635D0" w14:paraId="6674C418" w14:textId="77777777" w:rsidTr="00972355">
        <w:trPr>
          <w:trHeight w:val="564"/>
          <w:jc w:val="center"/>
        </w:trPr>
        <w:tc>
          <w:tcPr>
            <w:tcW w:w="961" w:type="dxa"/>
            <w:vMerge w:val="restart"/>
            <w:tcBorders>
              <w:top w:val="nil"/>
              <w:left w:val="nil"/>
              <w:bottom w:val="nil"/>
              <w:right w:val="single" w:sz="4" w:space="0" w:color="auto"/>
            </w:tcBorders>
            <w:noWrap/>
            <w:textDirection w:val="btLr"/>
            <w:vAlign w:val="center"/>
            <w:hideMark/>
          </w:tcPr>
          <w:p w14:paraId="2588DA9B" w14:textId="77777777" w:rsidR="00EC6244" w:rsidRPr="001635D0" w:rsidRDefault="00EC6244" w:rsidP="00972355">
            <w:pPr>
              <w:suppressAutoHyphens w:val="0"/>
              <w:spacing w:line="276" w:lineRule="auto"/>
              <w:jc w:val="center"/>
              <w:rPr>
                <w:rFonts w:cs="Times New Roman"/>
                <w:b/>
                <w:bCs/>
                <w:color w:val="000000"/>
                <w:lang w:eastAsia="pt-BR"/>
              </w:rPr>
            </w:pPr>
            <w:r w:rsidRPr="001635D0">
              <w:rPr>
                <w:rFonts w:cs="Times New Roman"/>
                <w:b/>
                <w:bCs/>
                <w:color w:val="000000"/>
                <w:lang w:eastAsia="pt-BR"/>
              </w:rPr>
              <w:lastRenderedPageBreak/>
              <w:t>Probabilidade</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E37281B"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Muito Baixo</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50A4555"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2612D08E"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3AD7A909"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7E7C82C0"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09B100B5"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r>
      <w:tr w:rsidR="00EC6244" w:rsidRPr="001635D0" w14:paraId="4AF5F13D" w14:textId="77777777" w:rsidTr="00972355">
        <w:trPr>
          <w:trHeight w:val="564"/>
          <w:jc w:val="center"/>
        </w:trPr>
        <w:tc>
          <w:tcPr>
            <w:tcW w:w="0" w:type="auto"/>
            <w:vMerge/>
            <w:tcBorders>
              <w:top w:val="nil"/>
              <w:left w:val="nil"/>
              <w:bottom w:val="nil"/>
              <w:right w:val="single" w:sz="4" w:space="0" w:color="auto"/>
            </w:tcBorders>
            <w:vAlign w:val="center"/>
            <w:hideMark/>
          </w:tcPr>
          <w:p w14:paraId="2893AA3B" w14:textId="77777777" w:rsidR="00EC6244" w:rsidRPr="001635D0" w:rsidRDefault="00EC6244" w:rsidP="00972355">
            <w:pPr>
              <w:suppressAutoHyphens w:val="0"/>
              <w:spacing w:line="276" w:lineRule="auto"/>
              <w:rPr>
                <w:rFonts w:eastAsia="Times New Roman" w:cs="Times New Roman"/>
                <w:b/>
                <w:bCs/>
                <w:color w:val="000000"/>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43F66749"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EE52ACB"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8A78E55"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6F0C0B86"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3C22F9CF"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4D643DB"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r>
      <w:tr w:rsidR="00EC6244" w:rsidRPr="001635D0" w14:paraId="6C527205" w14:textId="77777777" w:rsidTr="00972355">
        <w:trPr>
          <w:trHeight w:val="564"/>
          <w:jc w:val="center"/>
        </w:trPr>
        <w:tc>
          <w:tcPr>
            <w:tcW w:w="0" w:type="auto"/>
            <w:vMerge/>
            <w:tcBorders>
              <w:top w:val="nil"/>
              <w:left w:val="nil"/>
              <w:bottom w:val="nil"/>
              <w:right w:val="single" w:sz="4" w:space="0" w:color="auto"/>
            </w:tcBorders>
            <w:vAlign w:val="center"/>
            <w:hideMark/>
          </w:tcPr>
          <w:p w14:paraId="58349257" w14:textId="77777777" w:rsidR="00EC6244" w:rsidRPr="001635D0" w:rsidRDefault="00EC6244" w:rsidP="00972355">
            <w:pPr>
              <w:suppressAutoHyphens w:val="0"/>
              <w:spacing w:line="276" w:lineRule="auto"/>
              <w:rPr>
                <w:rFonts w:eastAsia="Times New Roman" w:cs="Times New Roman"/>
                <w:b/>
                <w:bCs/>
                <w:color w:val="000000"/>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73DF03FF"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Moderado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DA93929"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002A68B"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0BC1BBB"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3B80AAE0"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52283A53"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r>
      <w:tr w:rsidR="00EC6244" w:rsidRPr="001635D0" w14:paraId="50B48677" w14:textId="77777777" w:rsidTr="00972355">
        <w:trPr>
          <w:trHeight w:val="564"/>
          <w:jc w:val="center"/>
        </w:trPr>
        <w:tc>
          <w:tcPr>
            <w:tcW w:w="0" w:type="auto"/>
            <w:vMerge/>
            <w:tcBorders>
              <w:top w:val="nil"/>
              <w:left w:val="nil"/>
              <w:bottom w:val="nil"/>
              <w:right w:val="single" w:sz="4" w:space="0" w:color="auto"/>
            </w:tcBorders>
            <w:vAlign w:val="center"/>
            <w:hideMark/>
          </w:tcPr>
          <w:p w14:paraId="31ED0AED" w14:textId="77777777" w:rsidR="00EC6244" w:rsidRPr="001635D0" w:rsidRDefault="00EC6244" w:rsidP="00972355">
            <w:pPr>
              <w:suppressAutoHyphens w:val="0"/>
              <w:spacing w:line="276" w:lineRule="auto"/>
              <w:rPr>
                <w:rFonts w:eastAsia="Times New Roman" w:cs="Times New Roman"/>
                <w:b/>
                <w:bCs/>
                <w:color w:val="000000"/>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6DC8E928"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FA5932C"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1E0BF1B4"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B443D63"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3F3E53F"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0EAE530B"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Alta</w:t>
            </w:r>
          </w:p>
        </w:tc>
      </w:tr>
      <w:tr w:rsidR="00EC6244" w:rsidRPr="001635D0" w14:paraId="6A0E7859" w14:textId="77777777" w:rsidTr="00972355">
        <w:trPr>
          <w:trHeight w:val="564"/>
          <w:jc w:val="center"/>
        </w:trPr>
        <w:tc>
          <w:tcPr>
            <w:tcW w:w="0" w:type="auto"/>
            <w:vMerge/>
            <w:tcBorders>
              <w:top w:val="nil"/>
              <w:left w:val="nil"/>
              <w:bottom w:val="nil"/>
              <w:right w:val="single" w:sz="4" w:space="0" w:color="auto"/>
            </w:tcBorders>
            <w:vAlign w:val="center"/>
            <w:hideMark/>
          </w:tcPr>
          <w:p w14:paraId="38976949" w14:textId="77777777" w:rsidR="00EC6244" w:rsidRPr="001635D0" w:rsidRDefault="00EC6244" w:rsidP="00972355">
            <w:pPr>
              <w:suppressAutoHyphens w:val="0"/>
              <w:spacing w:line="276" w:lineRule="auto"/>
              <w:rPr>
                <w:rFonts w:eastAsia="Times New Roman" w:cs="Times New Roman"/>
                <w:b/>
                <w:bCs/>
                <w:color w:val="000000"/>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3AED822"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Muito 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05A65630"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9452E00"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E02A98A"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72EF06B"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ECA182E"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Média</w:t>
            </w:r>
          </w:p>
        </w:tc>
      </w:tr>
      <w:tr w:rsidR="00EC6244" w:rsidRPr="001635D0" w14:paraId="4471AA08" w14:textId="77777777" w:rsidTr="00972355">
        <w:trPr>
          <w:trHeight w:val="564"/>
          <w:jc w:val="center"/>
        </w:trPr>
        <w:tc>
          <w:tcPr>
            <w:tcW w:w="961" w:type="dxa"/>
            <w:tcBorders>
              <w:right w:val="single" w:sz="4" w:space="0" w:color="auto"/>
            </w:tcBorders>
            <w:noWrap/>
            <w:vAlign w:val="center"/>
            <w:hideMark/>
          </w:tcPr>
          <w:p w14:paraId="482BCDCA" w14:textId="77777777" w:rsidR="00EC6244" w:rsidRPr="001635D0" w:rsidRDefault="00EC6244" w:rsidP="00972355">
            <w:pPr>
              <w:rPr>
                <w:rFonts w:cs="Times New Roman"/>
                <w:color w:val="000000"/>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5382A7F5" w14:textId="77777777" w:rsidR="00EC6244" w:rsidRPr="001635D0" w:rsidRDefault="00EC6244" w:rsidP="00972355">
            <w:pPr>
              <w:suppressAutoHyphens w:val="0"/>
              <w:spacing w:line="276" w:lineRule="auto"/>
              <w:jc w:val="center"/>
              <w:rPr>
                <w:rFonts w:eastAsia="Times New Roman" w:cs="Times New Roman"/>
                <w:color w:val="000000"/>
                <w:lang w:eastAsia="pt-BR"/>
              </w:rPr>
            </w:pPr>
            <w:r w:rsidRPr="001635D0">
              <w:rPr>
                <w:rFonts w:cs="Times New Roman"/>
                <w:color w:val="000000"/>
                <w:lang w:eastAsia="pt-BR"/>
              </w:rPr>
              <w:t> </w:t>
            </w:r>
          </w:p>
        </w:tc>
        <w:tc>
          <w:tcPr>
            <w:tcW w:w="735" w:type="dxa"/>
            <w:tcBorders>
              <w:top w:val="single" w:sz="4" w:space="0" w:color="auto"/>
              <w:left w:val="single" w:sz="4" w:space="0" w:color="auto"/>
              <w:bottom w:val="single" w:sz="4" w:space="0" w:color="auto"/>
              <w:right w:val="single" w:sz="4" w:space="0" w:color="auto"/>
            </w:tcBorders>
            <w:vAlign w:val="center"/>
            <w:hideMark/>
          </w:tcPr>
          <w:p w14:paraId="56723938"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Muito Baixo</w:t>
            </w:r>
          </w:p>
        </w:tc>
        <w:tc>
          <w:tcPr>
            <w:tcW w:w="735" w:type="dxa"/>
            <w:tcBorders>
              <w:top w:val="single" w:sz="4" w:space="0" w:color="auto"/>
              <w:left w:val="single" w:sz="4" w:space="0" w:color="auto"/>
              <w:bottom w:val="single" w:sz="4" w:space="0" w:color="auto"/>
              <w:right w:val="single" w:sz="4" w:space="0" w:color="auto"/>
            </w:tcBorders>
            <w:vAlign w:val="center"/>
            <w:hideMark/>
          </w:tcPr>
          <w:p w14:paraId="770A03AA"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Baixo</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63B874B"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Moderado</w:t>
            </w:r>
          </w:p>
        </w:tc>
        <w:tc>
          <w:tcPr>
            <w:tcW w:w="735" w:type="dxa"/>
            <w:tcBorders>
              <w:top w:val="single" w:sz="4" w:space="0" w:color="auto"/>
              <w:left w:val="single" w:sz="4" w:space="0" w:color="auto"/>
              <w:bottom w:val="single" w:sz="4" w:space="0" w:color="auto"/>
              <w:right w:val="single" w:sz="4" w:space="0" w:color="auto"/>
            </w:tcBorders>
            <w:vAlign w:val="center"/>
            <w:hideMark/>
          </w:tcPr>
          <w:p w14:paraId="44C22FDF"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Alto</w:t>
            </w:r>
          </w:p>
        </w:tc>
        <w:tc>
          <w:tcPr>
            <w:tcW w:w="735" w:type="dxa"/>
            <w:tcBorders>
              <w:top w:val="single" w:sz="4" w:space="0" w:color="auto"/>
              <w:left w:val="single" w:sz="4" w:space="0" w:color="auto"/>
              <w:bottom w:val="single" w:sz="4" w:space="0" w:color="auto"/>
              <w:right w:val="single" w:sz="4" w:space="0" w:color="auto"/>
            </w:tcBorders>
            <w:vAlign w:val="center"/>
            <w:hideMark/>
          </w:tcPr>
          <w:p w14:paraId="68B35FDE" w14:textId="77777777" w:rsidR="00EC6244" w:rsidRPr="001635D0" w:rsidRDefault="00EC6244" w:rsidP="00972355">
            <w:pPr>
              <w:suppressAutoHyphens w:val="0"/>
              <w:spacing w:line="276" w:lineRule="auto"/>
              <w:jc w:val="center"/>
              <w:rPr>
                <w:rFonts w:cs="Times New Roman"/>
                <w:color w:val="000000"/>
                <w:lang w:eastAsia="pt-BR"/>
              </w:rPr>
            </w:pPr>
            <w:r w:rsidRPr="001635D0">
              <w:rPr>
                <w:rFonts w:cs="Times New Roman"/>
                <w:color w:val="000000"/>
                <w:lang w:eastAsia="pt-BR"/>
              </w:rPr>
              <w:t>Muito Alto</w:t>
            </w:r>
          </w:p>
        </w:tc>
      </w:tr>
      <w:tr w:rsidR="00EC6244" w:rsidRPr="001635D0" w14:paraId="52D258F7" w14:textId="77777777" w:rsidTr="00972355">
        <w:trPr>
          <w:trHeight w:val="564"/>
          <w:jc w:val="center"/>
        </w:trPr>
        <w:tc>
          <w:tcPr>
            <w:tcW w:w="961" w:type="dxa"/>
            <w:noWrap/>
            <w:vAlign w:val="center"/>
            <w:hideMark/>
          </w:tcPr>
          <w:p w14:paraId="5794BB56" w14:textId="77777777" w:rsidR="00EC6244" w:rsidRPr="001635D0" w:rsidRDefault="00EC6244" w:rsidP="00972355">
            <w:pPr>
              <w:rPr>
                <w:rFonts w:cs="Times New Roman"/>
                <w:color w:val="000000"/>
                <w:lang w:eastAsia="pt-BR"/>
              </w:rPr>
            </w:pPr>
          </w:p>
        </w:tc>
        <w:tc>
          <w:tcPr>
            <w:tcW w:w="1136" w:type="dxa"/>
            <w:tcBorders>
              <w:top w:val="single" w:sz="4" w:space="0" w:color="auto"/>
            </w:tcBorders>
            <w:noWrap/>
            <w:vAlign w:val="center"/>
            <w:hideMark/>
          </w:tcPr>
          <w:p w14:paraId="7FE3C88D" w14:textId="77777777" w:rsidR="00EC6244" w:rsidRPr="001635D0" w:rsidRDefault="00EC6244" w:rsidP="00972355">
            <w:pPr>
              <w:suppressAutoHyphens w:val="0"/>
              <w:spacing w:line="276" w:lineRule="auto"/>
              <w:rPr>
                <w:rFonts w:eastAsiaTheme="minorHAnsi" w:cs="Times New Roman"/>
                <w:lang w:eastAsia="pt-BR"/>
              </w:rPr>
            </w:pPr>
          </w:p>
        </w:tc>
        <w:tc>
          <w:tcPr>
            <w:tcW w:w="4076" w:type="dxa"/>
            <w:gridSpan w:val="5"/>
            <w:tcBorders>
              <w:top w:val="single" w:sz="4" w:space="0" w:color="auto"/>
              <w:left w:val="nil"/>
              <w:bottom w:val="nil"/>
              <w:right w:val="nil"/>
            </w:tcBorders>
            <w:noWrap/>
            <w:vAlign w:val="center"/>
            <w:hideMark/>
          </w:tcPr>
          <w:p w14:paraId="6091C228" w14:textId="77777777" w:rsidR="00EC6244" w:rsidRPr="001635D0" w:rsidRDefault="00EC6244" w:rsidP="00972355">
            <w:pPr>
              <w:suppressAutoHyphens w:val="0"/>
              <w:spacing w:line="276" w:lineRule="auto"/>
              <w:jc w:val="center"/>
              <w:rPr>
                <w:rFonts w:eastAsia="Times New Roman" w:cs="Times New Roman"/>
                <w:b/>
                <w:bCs/>
                <w:color w:val="000000"/>
                <w:lang w:eastAsia="pt-BR"/>
              </w:rPr>
            </w:pPr>
            <w:r w:rsidRPr="001635D0">
              <w:rPr>
                <w:rFonts w:cs="Times New Roman"/>
                <w:b/>
                <w:bCs/>
                <w:color w:val="000000"/>
                <w:lang w:eastAsia="pt-BR"/>
              </w:rPr>
              <w:t>Impacto</w:t>
            </w:r>
          </w:p>
        </w:tc>
      </w:tr>
    </w:tbl>
    <w:p w14:paraId="6AABCCCD" w14:textId="77777777" w:rsidR="00EC6244" w:rsidRDefault="00EC6244" w:rsidP="00EC6244">
      <w:pPr>
        <w:jc w:val="both"/>
        <w:rPr>
          <w:rFonts w:cs="Times New Roman"/>
        </w:rPr>
      </w:pPr>
    </w:p>
    <w:p w14:paraId="5BDCC2D7" w14:textId="77777777" w:rsidR="00EC6244" w:rsidRPr="001635D0" w:rsidRDefault="00EC6244" w:rsidP="00EC6244">
      <w:pPr>
        <w:jc w:val="both"/>
        <w:rPr>
          <w:rFonts w:eastAsia="Times New Roman" w:cs="Times New Roman"/>
          <w:lang w:eastAsia="ar-SA"/>
        </w:rPr>
      </w:pPr>
      <w:r w:rsidRPr="001635D0">
        <w:rPr>
          <w:rFonts w:cs="Times New Roman"/>
        </w:rPr>
        <w:t>Para fins de confecção do mapa de calor, considerou-se apenas os impactos negativos (ameaças), ou seja, aqueles os quais podem implicar em desequilíbrio a relação contratual, especialmente quanto ao equilíbrio econômico-financeiro.</w:t>
      </w:r>
    </w:p>
    <w:p w14:paraId="3F2BA14D" w14:textId="77777777" w:rsidR="00EC6244" w:rsidRPr="001635D0" w:rsidRDefault="00EC6244" w:rsidP="00EC6244">
      <w:pPr>
        <w:jc w:val="both"/>
        <w:rPr>
          <w:rFonts w:cs="Times New Roman"/>
        </w:rPr>
      </w:pPr>
    </w:p>
    <w:p w14:paraId="07D7CFBB" w14:textId="77777777" w:rsidR="00EC6244" w:rsidRPr="001635D0" w:rsidRDefault="00EC6244" w:rsidP="00EC6244">
      <w:pPr>
        <w:jc w:val="both"/>
        <w:rPr>
          <w:rFonts w:cs="Times New Roman"/>
        </w:rPr>
      </w:pPr>
      <w:r w:rsidRPr="001635D0">
        <w:rPr>
          <w:rFonts w:cs="Times New Roman"/>
        </w:rPr>
        <w:t>Ante a ocorrência do risco, deve-se realizar o enquadramento do risco no mapa de calor e verificar as ações a que devem ser adotadas, conforme descrição no mapa, sendo:</w:t>
      </w:r>
    </w:p>
    <w:p w14:paraId="7D48FAB8" w14:textId="77777777" w:rsidR="00EC6244" w:rsidRPr="001635D0" w:rsidRDefault="00EC6244" w:rsidP="00EC6244">
      <w:pPr>
        <w:jc w:val="both"/>
        <w:rPr>
          <w:rFonts w:cs="Times New Roman"/>
        </w:rPr>
      </w:pPr>
    </w:p>
    <w:tbl>
      <w:tblPr>
        <w:tblW w:w="694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tblGrid>
      <w:tr w:rsidR="00EC6244" w:rsidRPr="001635D0" w14:paraId="407FB182" w14:textId="77777777" w:rsidTr="00B871C8">
        <w:trPr>
          <w:trHeight w:val="948"/>
        </w:trPr>
        <w:tc>
          <w:tcPr>
            <w:tcW w:w="694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73C7511D" w14:textId="77777777" w:rsidR="00EC6244" w:rsidRPr="001635D0" w:rsidRDefault="00EC6244" w:rsidP="00972355">
            <w:pPr>
              <w:suppressAutoHyphens w:val="0"/>
              <w:spacing w:line="276" w:lineRule="auto"/>
              <w:jc w:val="both"/>
              <w:rPr>
                <w:rFonts w:cs="Times New Roman"/>
                <w:color w:val="000000"/>
                <w:lang w:eastAsia="pt-BR"/>
              </w:rPr>
            </w:pPr>
            <w:r w:rsidRPr="001635D0">
              <w:rPr>
                <w:rFonts w:cs="Times New Roman"/>
                <w:color w:val="000000"/>
                <w:lang w:eastAsia="pt-BR"/>
              </w:rPr>
              <w:t>As consequências do risco são irreversíveis e pode trazer prejuízos a administração. Implemente ações imediatamente.</w:t>
            </w:r>
          </w:p>
        </w:tc>
      </w:tr>
      <w:tr w:rsidR="00EC6244" w:rsidRPr="001635D0" w14:paraId="39E588A9" w14:textId="77777777" w:rsidTr="00B871C8">
        <w:trPr>
          <w:trHeight w:val="894"/>
        </w:trPr>
        <w:tc>
          <w:tcPr>
            <w:tcW w:w="694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DC99852" w14:textId="77777777" w:rsidR="00EC6244" w:rsidRPr="001635D0" w:rsidRDefault="00EC6244" w:rsidP="00972355">
            <w:pPr>
              <w:suppressAutoHyphens w:val="0"/>
              <w:spacing w:line="276" w:lineRule="auto"/>
              <w:jc w:val="both"/>
              <w:rPr>
                <w:rFonts w:cs="Times New Roman"/>
                <w:color w:val="000000"/>
                <w:lang w:eastAsia="pt-BR"/>
              </w:rPr>
            </w:pPr>
            <w:r w:rsidRPr="001635D0">
              <w:rPr>
                <w:rFonts w:cs="Times New Roman"/>
                <w:color w:val="000000"/>
                <w:lang w:eastAsia="pt-BR"/>
              </w:rPr>
              <w:t>Ponto de atenção. Adotar as medidas de segurança e tomar as providências cabíveis.</w:t>
            </w:r>
          </w:p>
        </w:tc>
      </w:tr>
      <w:tr w:rsidR="00EC6244" w:rsidRPr="001635D0" w14:paraId="04FCF394" w14:textId="77777777" w:rsidTr="00B871C8">
        <w:trPr>
          <w:trHeight w:val="888"/>
        </w:trPr>
        <w:tc>
          <w:tcPr>
            <w:tcW w:w="694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35B89370" w14:textId="77777777" w:rsidR="00EC6244" w:rsidRPr="001635D0" w:rsidRDefault="00EC6244" w:rsidP="00972355">
            <w:pPr>
              <w:suppressAutoHyphens w:val="0"/>
              <w:spacing w:line="276" w:lineRule="auto"/>
              <w:jc w:val="both"/>
              <w:rPr>
                <w:rFonts w:cs="Times New Roman"/>
                <w:color w:val="000000"/>
                <w:lang w:eastAsia="pt-BR"/>
              </w:rPr>
            </w:pPr>
            <w:r w:rsidRPr="001635D0">
              <w:rPr>
                <w:rFonts w:cs="Times New Roman"/>
                <w:color w:val="000000"/>
                <w:lang w:eastAsia="pt-BR"/>
              </w:rPr>
              <w:t>Risco sobre controle. Monitorar o risco e suas consequências, ainda que de baixo impacto.</w:t>
            </w:r>
          </w:p>
        </w:tc>
      </w:tr>
    </w:tbl>
    <w:p w14:paraId="7719179B" w14:textId="77777777" w:rsidR="00EC6244" w:rsidRPr="001635D0" w:rsidRDefault="00EC6244" w:rsidP="00EC6244">
      <w:pPr>
        <w:jc w:val="both"/>
        <w:rPr>
          <w:rFonts w:eastAsia="Times New Roman" w:cs="Times New Roman"/>
          <w:lang w:eastAsia="ar-SA"/>
        </w:rPr>
      </w:pPr>
    </w:p>
    <w:p w14:paraId="5231B403" w14:textId="23ECB07F" w:rsidR="00EC6244" w:rsidRPr="00205A6E" w:rsidRDefault="00EC6244" w:rsidP="006333E6">
      <w:pPr>
        <w:jc w:val="both"/>
        <w:rPr>
          <w:rFonts w:cs="Times New Roman"/>
        </w:rPr>
        <w:sectPr w:rsidR="00EC6244" w:rsidRPr="00205A6E" w:rsidSect="00B871C8">
          <w:pgSz w:w="11906" w:h="16838"/>
          <w:pgMar w:top="1701" w:right="1276" w:bottom="1418" w:left="1701" w:header="0" w:footer="0" w:gutter="0"/>
          <w:cols w:space="708"/>
          <w:docGrid w:linePitch="360"/>
        </w:sectPr>
      </w:pPr>
      <w:r w:rsidRPr="001635D0">
        <w:rPr>
          <w:rFonts w:cs="Times New Roman"/>
        </w:rPr>
        <w:t xml:space="preserve">Os riscos têm por objetivo refletir os eventos passíveis de mitigação de acordo com as incidências. </w:t>
      </w:r>
      <w:r>
        <w:rPr>
          <w:rFonts w:cs="Times New Roman"/>
        </w:rPr>
        <w:t>O</w:t>
      </w:r>
      <w:r w:rsidRPr="001635D0">
        <w:rPr>
          <w:rFonts w:cs="Times New Roman"/>
        </w:rPr>
        <w:t xml:space="preserve"> presente mapa</w:t>
      </w:r>
      <w:r>
        <w:rPr>
          <w:rFonts w:cs="Times New Roman"/>
        </w:rPr>
        <w:t xml:space="preserve"> é parte integrante</w:t>
      </w:r>
      <w:r w:rsidRPr="001635D0">
        <w:rPr>
          <w:rFonts w:cs="Times New Roman"/>
        </w:rPr>
        <w:t xml:space="preserve"> o estudo técnico preliminar – ETP do objeto, de modo que devem ser considerados na escolha da solução e no detalhamento decorrente de Termo de Referência futuro</w:t>
      </w:r>
      <w:r w:rsidR="006333E6">
        <w:rPr>
          <w:rFonts w:cs="Times New Roman"/>
        </w:rPr>
        <w:t>.</w:t>
      </w:r>
    </w:p>
    <w:p w14:paraId="6DD01C4C" w14:textId="77777777" w:rsidR="00EC6244" w:rsidRDefault="00EC6244" w:rsidP="00C85F6F">
      <w:pPr>
        <w:rPr>
          <w:rFonts w:cs="Times New Roman"/>
          <w:b/>
          <w:bCs/>
        </w:rPr>
      </w:pPr>
    </w:p>
    <w:sectPr w:rsidR="00EC6244" w:rsidSect="00B871C8">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22E3C" w14:textId="77777777" w:rsidR="00812199" w:rsidRDefault="00812199">
      <w:r>
        <w:separator/>
      </w:r>
    </w:p>
  </w:endnote>
  <w:endnote w:type="continuationSeparator" w:id="0">
    <w:p w14:paraId="27D87BF8" w14:textId="77777777" w:rsidR="00812199" w:rsidRDefault="0081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EF5AB" w14:textId="77777777" w:rsidR="00875A97" w:rsidRPr="000437B6" w:rsidRDefault="00875A97" w:rsidP="00596978">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58240" behindDoc="1" locked="0" layoutInCell="1" allowOverlap="1" wp14:anchorId="1E837C73" wp14:editId="354A05D2">
          <wp:simplePos x="0" y="0"/>
          <wp:positionH relativeFrom="column">
            <wp:posOffset>-899160</wp:posOffset>
          </wp:positionH>
          <wp:positionV relativeFrom="paragraph">
            <wp:posOffset>-633730</wp:posOffset>
          </wp:positionV>
          <wp:extent cx="7324725" cy="783590"/>
          <wp:effectExtent l="0" t="0" r="9525" b="0"/>
          <wp:wrapNone/>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BD7F9" w14:textId="77777777" w:rsidR="00812199" w:rsidRDefault="00812199">
      <w:r>
        <w:separator/>
      </w:r>
    </w:p>
  </w:footnote>
  <w:footnote w:type="continuationSeparator" w:id="0">
    <w:p w14:paraId="6E979E47" w14:textId="77777777" w:rsidR="00812199" w:rsidRDefault="00812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DCE68" w14:textId="77777777" w:rsidR="00875A97" w:rsidRDefault="00875A97" w:rsidP="0082697E">
    <w:pPr>
      <w:pStyle w:val="Cabealho"/>
      <w:rPr>
        <w:rFonts w:cs="Times New Roman"/>
        <w:sz w:val="32"/>
        <w:szCs w:val="32"/>
      </w:rPr>
    </w:pPr>
    <w:r>
      <w:rPr>
        <w:rFonts w:cs="Times New Roman"/>
        <w:sz w:val="32"/>
        <w:szCs w:val="32"/>
      </w:rPr>
      <w:t xml:space="preserve">  </w:t>
    </w:r>
  </w:p>
  <w:p w14:paraId="23943ECE" w14:textId="77777777" w:rsidR="00875A97" w:rsidRPr="00AD638A" w:rsidRDefault="00875A97"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257964B8" wp14:editId="3D19B6B8">
          <wp:extent cx="3409950" cy="832286"/>
          <wp:effectExtent l="0" t="0" r="0" b="6350"/>
          <wp:docPr id="7" name="Imagem 7"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2694"/>
        </w:tabs>
        <w:ind w:left="3126" w:hanging="432"/>
      </w:pPr>
    </w:lvl>
    <w:lvl w:ilvl="1">
      <w:start w:val="1"/>
      <w:numFmt w:val="none"/>
      <w:pStyle w:val="Ttulo2"/>
      <w:suff w:val="nothing"/>
      <w:lvlText w:val=""/>
      <w:lvlJc w:val="left"/>
      <w:pPr>
        <w:tabs>
          <w:tab w:val="num" w:pos="2694"/>
        </w:tabs>
        <w:ind w:left="3270" w:hanging="576"/>
      </w:pPr>
    </w:lvl>
    <w:lvl w:ilvl="2">
      <w:start w:val="1"/>
      <w:numFmt w:val="none"/>
      <w:suff w:val="nothing"/>
      <w:lvlText w:val=""/>
      <w:lvlJc w:val="left"/>
      <w:pPr>
        <w:tabs>
          <w:tab w:val="num" w:pos="2694"/>
        </w:tabs>
        <w:ind w:left="3414" w:hanging="720"/>
      </w:pPr>
    </w:lvl>
    <w:lvl w:ilvl="3">
      <w:start w:val="1"/>
      <w:numFmt w:val="none"/>
      <w:suff w:val="nothing"/>
      <w:lvlText w:val=""/>
      <w:lvlJc w:val="left"/>
      <w:pPr>
        <w:tabs>
          <w:tab w:val="num" w:pos="2694"/>
        </w:tabs>
        <w:ind w:left="3558" w:hanging="864"/>
      </w:pPr>
    </w:lvl>
    <w:lvl w:ilvl="4">
      <w:start w:val="1"/>
      <w:numFmt w:val="none"/>
      <w:suff w:val="nothing"/>
      <w:lvlText w:val=""/>
      <w:lvlJc w:val="left"/>
      <w:pPr>
        <w:tabs>
          <w:tab w:val="num" w:pos="2694"/>
        </w:tabs>
        <w:ind w:left="2694" w:firstLine="0"/>
      </w:pPr>
    </w:lvl>
    <w:lvl w:ilvl="5">
      <w:start w:val="1"/>
      <w:numFmt w:val="none"/>
      <w:suff w:val="nothing"/>
      <w:lvlText w:val=""/>
      <w:lvlJc w:val="left"/>
      <w:pPr>
        <w:tabs>
          <w:tab w:val="num" w:pos="2694"/>
        </w:tabs>
        <w:ind w:left="2694" w:firstLine="0"/>
      </w:pPr>
    </w:lvl>
    <w:lvl w:ilvl="6">
      <w:start w:val="1"/>
      <w:numFmt w:val="none"/>
      <w:suff w:val="nothing"/>
      <w:lvlText w:val=""/>
      <w:lvlJc w:val="left"/>
      <w:pPr>
        <w:tabs>
          <w:tab w:val="num" w:pos="2694"/>
        </w:tabs>
        <w:ind w:left="3990" w:hanging="1296"/>
      </w:pPr>
    </w:lvl>
    <w:lvl w:ilvl="7">
      <w:start w:val="1"/>
      <w:numFmt w:val="none"/>
      <w:suff w:val="nothing"/>
      <w:lvlText w:val=""/>
      <w:lvlJc w:val="left"/>
      <w:pPr>
        <w:tabs>
          <w:tab w:val="num" w:pos="2694"/>
        </w:tabs>
        <w:ind w:left="4134" w:hanging="1440"/>
      </w:pPr>
    </w:lvl>
    <w:lvl w:ilvl="8">
      <w:start w:val="1"/>
      <w:numFmt w:val="none"/>
      <w:suff w:val="nothing"/>
      <w:lvlText w:val=""/>
      <w:lvlJc w:val="left"/>
      <w:pPr>
        <w:tabs>
          <w:tab w:val="num" w:pos="2694"/>
        </w:tabs>
        <w:ind w:left="2694"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462A70"/>
    <w:multiLevelType w:val="multilevel"/>
    <w:tmpl w:val="79EE1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4A46AC"/>
    <w:multiLevelType w:val="multilevel"/>
    <w:tmpl w:val="FA043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7520ED"/>
    <w:multiLevelType w:val="multilevel"/>
    <w:tmpl w:val="C360E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B57856"/>
    <w:multiLevelType w:val="hybridMultilevel"/>
    <w:tmpl w:val="91C4711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7C95420"/>
    <w:multiLevelType w:val="multilevel"/>
    <w:tmpl w:val="14CA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221461"/>
    <w:multiLevelType w:val="multilevel"/>
    <w:tmpl w:val="23327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C14365"/>
    <w:multiLevelType w:val="multilevel"/>
    <w:tmpl w:val="78B08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37114F"/>
    <w:multiLevelType w:val="hybridMultilevel"/>
    <w:tmpl w:val="0F9644B8"/>
    <w:lvl w:ilvl="0" w:tplc="9AECD01E">
      <w:start w:val="1"/>
      <w:numFmt w:val="decimal"/>
      <w:lvlText w:val="%1."/>
      <w:lvlJc w:val="left"/>
      <w:pPr>
        <w:ind w:left="502" w:hanging="360"/>
      </w:pPr>
      <w:rPr>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30C718A"/>
    <w:multiLevelType w:val="hybridMultilevel"/>
    <w:tmpl w:val="60AC42DA"/>
    <w:lvl w:ilvl="0" w:tplc="D124F2A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3" w15:restartNumberingAfterBreak="0">
    <w:nsid w:val="13EF756F"/>
    <w:multiLevelType w:val="hybridMultilevel"/>
    <w:tmpl w:val="0082EC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13F72EAD"/>
    <w:multiLevelType w:val="multilevel"/>
    <w:tmpl w:val="B1965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DF6C8C"/>
    <w:multiLevelType w:val="hybridMultilevel"/>
    <w:tmpl w:val="96162DD4"/>
    <w:lvl w:ilvl="0" w:tplc="556A138E">
      <w:start w:val="4"/>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19981BA9"/>
    <w:multiLevelType w:val="multilevel"/>
    <w:tmpl w:val="9DF4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BB01B0"/>
    <w:multiLevelType w:val="multilevel"/>
    <w:tmpl w:val="C9E25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D73EB8"/>
    <w:multiLevelType w:val="multilevel"/>
    <w:tmpl w:val="9F506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EDC07C3"/>
    <w:multiLevelType w:val="multilevel"/>
    <w:tmpl w:val="E11CA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06157AC"/>
    <w:multiLevelType w:val="multilevel"/>
    <w:tmpl w:val="65920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F622DD"/>
    <w:multiLevelType w:val="multilevel"/>
    <w:tmpl w:val="7E62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8D737B"/>
    <w:multiLevelType w:val="hybridMultilevel"/>
    <w:tmpl w:val="AB4402DE"/>
    <w:lvl w:ilvl="0" w:tplc="9C90EADC">
      <w:numFmt w:val="bullet"/>
      <w:lvlText w:val=""/>
      <w:lvlJc w:val="left"/>
      <w:pPr>
        <w:ind w:left="1069" w:hanging="360"/>
      </w:pPr>
      <w:rPr>
        <w:rFonts w:ascii="Symbol" w:eastAsia="Arial Unicode MS" w:hAnsi="Symbol" w:cs="Tahoma"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24" w15:restartNumberingAfterBreak="0">
    <w:nsid w:val="2A9C6FC9"/>
    <w:multiLevelType w:val="multilevel"/>
    <w:tmpl w:val="740A4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C86DCA"/>
    <w:multiLevelType w:val="hybridMultilevel"/>
    <w:tmpl w:val="B4B89BAA"/>
    <w:lvl w:ilvl="0" w:tplc="C5700CDC">
      <w:start w:val="11"/>
      <w:numFmt w:val="bullet"/>
      <w:lvlText w:val=""/>
      <w:lvlJc w:val="left"/>
      <w:pPr>
        <w:ind w:left="720" w:hanging="360"/>
      </w:pPr>
      <w:rPr>
        <w:rFonts w:ascii="Symbol" w:eastAsia="Lucida Sans Unicode"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5D43BBA"/>
    <w:multiLevelType w:val="multilevel"/>
    <w:tmpl w:val="31E0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EB2115"/>
    <w:multiLevelType w:val="multilevel"/>
    <w:tmpl w:val="93A8F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F76784"/>
    <w:multiLevelType w:val="hybridMultilevel"/>
    <w:tmpl w:val="18304A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C7770A8"/>
    <w:multiLevelType w:val="multilevel"/>
    <w:tmpl w:val="519A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466EF3"/>
    <w:multiLevelType w:val="multilevel"/>
    <w:tmpl w:val="7C54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401F25"/>
    <w:multiLevelType w:val="multilevel"/>
    <w:tmpl w:val="F00A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5E2887"/>
    <w:multiLevelType w:val="hybridMultilevel"/>
    <w:tmpl w:val="0FE64E96"/>
    <w:lvl w:ilvl="0" w:tplc="395CDF38">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FD608B2"/>
    <w:multiLevelType w:val="multilevel"/>
    <w:tmpl w:val="99086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8E5218"/>
    <w:multiLevelType w:val="multilevel"/>
    <w:tmpl w:val="553AF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884C83"/>
    <w:multiLevelType w:val="multilevel"/>
    <w:tmpl w:val="199CB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6660F9"/>
    <w:multiLevelType w:val="multilevel"/>
    <w:tmpl w:val="13FC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586B30"/>
    <w:multiLevelType w:val="multilevel"/>
    <w:tmpl w:val="E37C8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E72BEF"/>
    <w:multiLevelType w:val="multilevel"/>
    <w:tmpl w:val="766C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5C031D"/>
    <w:multiLevelType w:val="multilevel"/>
    <w:tmpl w:val="60063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250476"/>
    <w:multiLevelType w:val="multilevel"/>
    <w:tmpl w:val="8ACC2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2A28BD"/>
    <w:multiLevelType w:val="hybridMultilevel"/>
    <w:tmpl w:val="49D6F402"/>
    <w:lvl w:ilvl="0" w:tplc="3FEE212E">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2" w15:restartNumberingAfterBreak="0">
    <w:nsid w:val="7D6C68C3"/>
    <w:multiLevelType w:val="multilevel"/>
    <w:tmpl w:val="7A72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2296460">
    <w:abstractNumId w:val="0"/>
  </w:num>
  <w:num w:numId="2" w16cid:durableId="968709325">
    <w:abstractNumId w:val="19"/>
  </w:num>
  <w:num w:numId="3" w16cid:durableId="1740710626">
    <w:abstractNumId w:val="12"/>
  </w:num>
  <w:num w:numId="4" w16cid:durableId="1559053252">
    <w:abstractNumId w:val="23"/>
  </w:num>
  <w:num w:numId="5" w16cid:durableId="415592699">
    <w:abstractNumId w:val="7"/>
  </w:num>
  <w:num w:numId="6" w16cid:durableId="1793672246">
    <w:abstractNumId w:val="32"/>
  </w:num>
  <w:num w:numId="7" w16cid:durableId="1097166474">
    <w:abstractNumId w:val="15"/>
  </w:num>
  <w:num w:numId="8" w16cid:durableId="1859847778">
    <w:abstractNumId w:val="39"/>
  </w:num>
  <w:num w:numId="9" w16cid:durableId="866942401">
    <w:abstractNumId w:val="27"/>
  </w:num>
  <w:num w:numId="10" w16cid:durableId="1328749705">
    <w:abstractNumId w:val="34"/>
  </w:num>
  <w:num w:numId="11" w16cid:durableId="648749176">
    <w:abstractNumId w:val="16"/>
  </w:num>
  <w:num w:numId="12" w16cid:durableId="1132207399">
    <w:abstractNumId w:val="37"/>
  </w:num>
  <w:num w:numId="13" w16cid:durableId="224415904">
    <w:abstractNumId w:val="40"/>
  </w:num>
  <w:num w:numId="14" w16cid:durableId="1249971727">
    <w:abstractNumId w:val="33"/>
  </w:num>
  <w:num w:numId="15" w16cid:durableId="915284083">
    <w:abstractNumId w:val="26"/>
  </w:num>
  <w:num w:numId="16" w16cid:durableId="1651058490">
    <w:abstractNumId w:val="36"/>
  </w:num>
  <w:num w:numId="17" w16cid:durableId="109057448">
    <w:abstractNumId w:val="5"/>
  </w:num>
  <w:num w:numId="18" w16cid:durableId="1488934160">
    <w:abstractNumId w:val="24"/>
  </w:num>
  <w:num w:numId="19" w16cid:durableId="1268926497">
    <w:abstractNumId w:val="31"/>
  </w:num>
  <w:num w:numId="20" w16cid:durableId="806628961">
    <w:abstractNumId w:val="35"/>
  </w:num>
  <w:num w:numId="21" w16cid:durableId="1207334476">
    <w:abstractNumId w:val="42"/>
  </w:num>
  <w:num w:numId="22" w16cid:durableId="1871067120">
    <w:abstractNumId w:val="17"/>
  </w:num>
  <w:num w:numId="23" w16cid:durableId="458382687">
    <w:abstractNumId w:val="29"/>
  </w:num>
  <w:num w:numId="24" w16cid:durableId="1543470399">
    <w:abstractNumId w:val="25"/>
  </w:num>
  <w:num w:numId="25" w16cid:durableId="1339964892">
    <w:abstractNumId w:val="6"/>
  </w:num>
  <w:num w:numId="26" w16cid:durableId="2100711673">
    <w:abstractNumId w:val="14"/>
  </w:num>
  <w:num w:numId="27" w16cid:durableId="40175100">
    <w:abstractNumId w:val="10"/>
  </w:num>
  <w:num w:numId="28" w16cid:durableId="1421214131">
    <w:abstractNumId w:val="18"/>
  </w:num>
  <w:num w:numId="29" w16cid:durableId="825708102">
    <w:abstractNumId w:val="30"/>
  </w:num>
  <w:num w:numId="30" w16cid:durableId="1905481439">
    <w:abstractNumId w:val="9"/>
  </w:num>
  <w:num w:numId="31" w16cid:durableId="1308320706">
    <w:abstractNumId w:val="38"/>
  </w:num>
  <w:num w:numId="32" w16cid:durableId="423960691">
    <w:abstractNumId w:val="4"/>
  </w:num>
  <w:num w:numId="33" w16cid:durableId="340933203">
    <w:abstractNumId w:val="8"/>
  </w:num>
  <w:num w:numId="34" w16cid:durableId="1404177965">
    <w:abstractNumId w:val="41"/>
  </w:num>
  <w:num w:numId="35" w16cid:durableId="1829200581">
    <w:abstractNumId w:val="21"/>
  </w:num>
  <w:num w:numId="36" w16cid:durableId="93671512">
    <w:abstractNumId w:val="22"/>
  </w:num>
  <w:num w:numId="37" w16cid:durableId="1955095958">
    <w:abstractNumId w:val="20"/>
  </w:num>
  <w:num w:numId="38" w16cid:durableId="461464172">
    <w:abstractNumId w:val="11"/>
  </w:num>
  <w:num w:numId="39" w16cid:durableId="548957932">
    <w:abstractNumId w:val="13"/>
  </w:num>
  <w:num w:numId="40" w16cid:durableId="2029721892">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E75"/>
    <w:rsid w:val="00033F8D"/>
    <w:rsid w:val="00034037"/>
    <w:rsid w:val="000357D4"/>
    <w:rsid w:val="00035B36"/>
    <w:rsid w:val="00035DC4"/>
    <w:rsid w:val="00035F47"/>
    <w:rsid w:val="00036322"/>
    <w:rsid w:val="00036764"/>
    <w:rsid w:val="00037B48"/>
    <w:rsid w:val="00040C21"/>
    <w:rsid w:val="00040E77"/>
    <w:rsid w:val="00042A2C"/>
    <w:rsid w:val="00042A7E"/>
    <w:rsid w:val="0004346F"/>
    <w:rsid w:val="000437B6"/>
    <w:rsid w:val="00043802"/>
    <w:rsid w:val="000447C8"/>
    <w:rsid w:val="00044999"/>
    <w:rsid w:val="00044E06"/>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4D7"/>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2B20"/>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B17"/>
    <w:rsid w:val="00083D27"/>
    <w:rsid w:val="00083E6A"/>
    <w:rsid w:val="00084404"/>
    <w:rsid w:val="00084F63"/>
    <w:rsid w:val="000852A0"/>
    <w:rsid w:val="000869C3"/>
    <w:rsid w:val="00087334"/>
    <w:rsid w:val="000875E1"/>
    <w:rsid w:val="00087CB3"/>
    <w:rsid w:val="00090701"/>
    <w:rsid w:val="00091930"/>
    <w:rsid w:val="00092411"/>
    <w:rsid w:val="00093796"/>
    <w:rsid w:val="00094321"/>
    <w:rsid w:val="00094F49"/>
    <w:rsid w:val="000951B2"/>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5B3D"/>
    <w:rsid w:val="000A6280"/>
    <w:rsid w:val="000A7663"/>
    <w:rsid w:val="000B0BFB"/>
    <w:rsid w:val="000B198F"/>
    <w:rsid w:val="000B1D0A"/>
    <w:rsid w:val="000B257C"/>
    <w:rsid w:val="000B2EFF"/>
    <w:rsid w:val="000B3189"/>
    <w:rsid w:val="000B3A1D"/>
    <w:rsid w:val="000B3F40"/>
    <w:rsid w:val="000B5476"/>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5FB"/>
    <w:rsid w:val="000C6770"/>
    <w:rsid w:val="000C6B41"/>
    <w:rsid w:val="000C751F"/>
    <w:rsid w:val="000C7CB4"/>
    <w:rsid w:val="000D002F"/>
    <w:rsid w:val="000D008C"/>
    <w:rsid w:val="000D073B"/>
    <w:rsid w:val="000D0D85"/>
    <w:rsid w:val="000D190B"/>
    <w:rsid w:val="000D1A83"/>
    <w:rsid w:val="000D28CA"/>
    <w:rsid w:val="000D311E"/>
    <w:rsid w:val="000D361C"/>
    <w:rsid w:val="000D3661"/>
    <w:rsid w:val="000D5167"/>
    <w:rsid w:val="000D52EC"/>
    <w:rsid w:val="000D5891"/>
    <w:rsid w:val="000D631F"/>
    <w:rsid w:val="000D6503"/>
    <w:rsid w:val="000D6A65"/>
    <w:rsid w:val="000D6B04"/>
    <w:rsid w:val="000D6E30"/>
    <w:rsid w:val="000D72FF"/>
    <w:rsid w:val="000D78AB"/>
    <w:rsid w:val="000E03C2"/>
    <w:rsid w:val="000E0B82"/>
    <w:rsid w:val="000E12F0"/>
    <w:rsid w:val="000E1783"/>
    <w:rsid w:val="000E231B"/>
    <w:rsid w:val="000E33AF"/>
    <w:rsid w:val="000E36B2"/>
    <w:rsid w:val="000E3D20"/>
    <w:rsid w:val="000E3F1B"/>
    <w:rsid w:val="000E4539"/>
    <w:rsid w:val="000E48D1"/>
    <w:rsid w:val="000E4B9B"/>
    <w:rsid w:val="000E508F"/>
    <w:rsid w:val="000E5440"/>
    <w:rsid w:val="000E5CD6"/>
    <w:rsid w:val="000E62FA"/>
    <w:rsid w:val="000E64F3"/>
    <w:rsid w:val="000E6C9D"/>
    <w:rsid w:val="000E7DB6"/>
    <w:rsid w:val="000E7E3D"/>
    <w:rsid w:val="000F00A7"/>
    <w:rsid w:val="000F03A4"/>
    <w:rsid w:val="000F0AEB"/>
    <w:rsid w:val="000F20DB"/>
    <w:rsid w:val="000F229D"/>
    <w:rsid w:val="000F2B26"/>
    <w:rsid w:val="000F3146"/>
    <w:rsid w:val="000F3CC5"/>
    <w:rsid w:val="000F4372"/>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0EA6"/>
    <w:rsid w:val="00122834"/>
    <w:rsid w:val="00123DB5"/>
    <w:rsid w:val="00124BCC"/>
    <w:rsid w:val="00124C0A"/>
    <w:rsid w:val="001264FA"/>
    <w:rsid w:val="00127059"/>
    <w:rsid w:val="001271FC"/>
    <w:rsid w:val="001278E8"/>
    <w:rsid w:val="0012792A"/>
    <w:rsid w:val="00130DEA"/>
    <w:rsid w:val="001313E5"/>
    <w:rsid w:val="00131EE2"/>
    <w:rsid w:val="001322ED"/>
    <w:rsid w:val="001324E3"/>
    <w:rsid w:val="0013280F"/>
    <w:rsid w:val="00132A2D"/>
    <w:rsid w:val="001331B7"/>
    <w:rsid w:val="00133A22"/>
    <w:rsid w:val="00133AA8"/>
    <w:rsid w:val="00134775"/>
    <w:rsid w:val="00135E8C"/>
    <w:rsid w:val="00136B3F"/>
    <w:rsid w:val="001371DA"/>
    <w:rsid w:val="0014009D"/>
    <w:rsid w:val="00140CED"/>
    <w:rsid w:val="0014264C"/>
    <w:rsid w:val="00142E24"/>
    <w:rsid w:val="00143773"/>
    <w:rsid w:val="00143FB6"/>
    <w:rsid w:val="00145DE2"/>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1BAF"/>
    <w:rsid w:val="001630C8"/>
    <w:rsid w:val="00163360"/>
    <w:rsid w:val="0016475D"/>
    <w:rsid w:val="00164FD7"/>
    <w:rsid w:val="00165F83"/>
    <w:rsid w:val="00166BEC"/>
    <w:rsid w:val="001674A6"/>
    <w:rsid w:val="00167EFD"/>
    <w:rsid w:val="0017030B"/>
    <w:rsid w:val="00170C93"/>
    <w:rsid w:val="0017149D"/>
    <w:rsid w:val="001715B5"/>
    <w:rsid w:val="00172431"/>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92C"/>
    <w:rsid w:val="00197E0A"/>
    <w:rsid w:val="001A0687"/>
    <w:rsid w:val="001A0D89"/>
    <w:rsid w:val="001A0EDA"/>
    <w:rsid w:val="001A2802"/>
    <w:rsid w:val="001A2CED"/>
    <w:rsid w:val="001A3D8C"/>
    <w:rsid w:val="001A3E4A"/>
    <w:rsid w:val="001A4039"/>
    <w:rsid w:val="001A4483"/>
    <w:rsid w:val="001A4FD4"/>
    <w:rsid w:val="001A5C24"/>
    <w:rsid w:val="001A5CAE"/>
    <w:rsid w:val="001A64A3"/>
    <w:rsid w:val="001A730D"/>
    <w:rsid w:val="001A7877"/>
    <w:rsid w:val="001A7CF7"/>
    <w:rsid w:val="001B02A9"/>
    <w:rsid w:val="001B0C72"/>
    <w:rsid w:val="001B15BF"/>
    <w:rsid w:val="001B281C"/>
    <w:rsid w:val="001B286B"/>
    <w:rsid w:val="001B2945"/>
    <w:rsid w:val="001B2E15"/>
    <w:rsid w:val="001B3126"/>
    <w:rsid w:val="001B3590"/>
    <w:rsid w:val="001B368C"/>
    <w:rsid w:val="001B3C7A"/>
    <w:rsid w:val="001B3D2E"/>
    <w:rsid w:val="001B3D30"/>
    <w:rsid w:val="001B3F59"/>
    <w:rsid w:val="001B4545"/>
    <w:rsid w:val="001B5418"/>
    <w:rsid w:val="001B5881"/>
    <w:rsid w:val="001B5D63"/>
    <w:rsid w:val="001B6088"/>
    <w:rsid w:val="001B629B"/>
    <w:rsid w:val="001B6313"/>
    <w:rsid w:val="001B6514"/>
    <w:rsid w:val="001B77D6"/>
    <w:rsid w:val="001B7C20"/>
    <w:rsid w:val="001B7D34"/>
    <w:rsid w:val="001C1BA9"/>
    <w:rsid w:val="001C259A"/>
    <w:rsid w:val="001C41A2"/>
    <w:rsid w:val="001C569B"/>
    <w:rsid w:val="001C68D4"/>
    <w:rsid w:val="001C6A77"/>
    <w:rsid w:val="001C6AB1"/>
    <w:rsid w:val="001C745A"/>
    <w:rsid w:val="001C78CB"/>
    <w:rsid w:val="001D04B6"/>
    <w:rsid w:val="001D1A64"/>
    <w:rsid w:val="001D1C70"/>
    <w:rsid w:val="001D223E"/>
    <w:rsid w:val="001D3062"/>
    <w:rsid w:val="001D318C"/>
    <w:rsid w:val="001D40D2"/>
    <w:rsid w:val="001D49BB"/>
    <w:rsid w:val="001D5466"/>
    <w:rsid w:val="001D5E23"/>
    <w:rsid w:val="001D69A8"/>
    <w:rsid w:val="001D6D52"/>
    <w:rsid w:val="001D7C0F"/>
    <w:rsid w:val="001E1BF6"/>
    <w:rsid w:val="001E24CC"/>
    <w:rsid w:val="001E2736"/>
    <w:rsid w:val="001E2D1F"/>
    <w:rsid w:val="001E3531"/>
    <w:rsid w:val="001E353D"/>
    <w:rsid w:val="001E36E2"/>
    <w:rsid w:val="001E3B72"/>
    <w:rsid w:val="001E3BC8"/>
    <w:rsid w:val="001E3F17"/>
    <w:rsid w:val="001E4BFE"/>
    <w:rsid w:val="001E4C39"/>
    <w:rsid w:val="001E5172"/>
    <w:rsid w:val="001E5848"/>
    <w:rsid w:val="001E67F4"/>
    <w:rsid w:val="001E683D"/>
    <w:rsid w:val="001E701B"/>
    <w:rsid w:val="001E7F28"/>
    <w:rsid w:val="001E7F42"/>
    <w:rsid w:val="001F0BA9"/>
    <w:rsid w:val="001F1341"/>
    <w:rsid w:val="001F22C3"/>
    <w:rsid w:val="001F30F2"/>
    <w:rsid w:val="001F3530"/>
    <w:rsid w:val="001F35C8"/>
    <w:rsid w:val="001F361E"/>
    <w:rsid w:val="001F3965"/>
    <w:rsid w:val="001F39AD"/>
    <w:rsid w:val="001F3AFB"/>
    <w:rsid w:val="001F4088"/>
    <w:rsid w:val="001F5780"/>
    <w:rsid w:val="001F57AC"/>
    <w:rsid w:val="001F5CA7"/>
    <w:rsid w:val="001F78BF"/>
    <w:rsid w:val="001F7A18"/>
    <w:rsid w:val="0020015E"/>
    <w:rsid w:val="00200DB9"/>
    <w:rsid w:val="00200DEE"/>
    <w:rsid w:val="002032A8"/>
    <w:rsid w:val="00203DB1"/>
    <w:rsid w:val="0020424E"/>
    <w:rsid w:val="00205A6E"/>
    <w:rsid w:val="002061BD"/>
    <w:rsid w:val="0020705E"/>
    <w:rsid w:val="0020731D"/>
    <w:rsid w:val="00210AE0"/>
    <w:rsid w:val="00210BE9"/>
    <w:rsid w:val="00210F58"/>
    <w:rsid w:val="00212B63"/>
    <w:rsid w:val="002137FF"/>
    <w:rsid w:val="00213D2B"/>
    <w:rsid w:val="00214B36"/>
    <w:rsid w:val="00214C08"/>
    <w:rsid w:val="00214EC9"/>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1404"/>
    <w:rsid w:val="00242691"/>
    <w:rsid w:val="00243846"/>
    <w:rsid w:val="00243AF8"/>
    <w:rsid w:val="0024457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6751"/>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ACE"/>
    <w:rsid w:val="00294F83"/>
    <w:rsid w:val="002951E8"/>
    <w:rsid w:val="00295B41"/>
    <w:rsid w:val="002960FA"/>
    <w:rsid w:val="00296257"/>
    <w:rsid w:val="00297D86"/>
    <w:rsid w:val="002A22C9"/>
    <w:rsid w:val="002A4DCD"/>
    <w:rsid w:val="002A537E"/>
    <w:rsid w:val="002A572F"/>
    <w:rsid w:val="002A6205"/>
    <w:rsid w:val="002A7C3B"/>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5AA6"/>
    <w:rsid w:val="002D674B"/>
    <w:rsid w:val="002D7124"/>
    <w:rsid w:val="002D72D4"/>
    <w:rsid w:val="002E1151"/>
    <w:rsid w:val="002E1879"/>
    <w:rsid w:val="002E1B01"/>
    <w:rsid w:val="002E1CFF"/>
    <w:rsid w:val="002E268C"/>
    <w:rsid w:val="002E2CEE"/>
    <w:rsid w:val="002E34F6"/>
    <w:rsid w:val="002E3A96"/>
    <w:rsid w:val="002E3A98"/>
    <w:rsid w:val="002E3DD9"/>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898"/>
    <w:rsid w:val="002F6E5C"/>
    <w:rsid w:val="002F71A4"/>
    <w:rsid w:val="002F77EE"/>
    <w:rsid w:val="003001B5"/>
    <w:rsid w:val="003013E9"/>
    <w:rsid w:val="00302181"/>
    <w:rsid w:val="00302D11"/>
    <w:rsid w:val="00303B69"/>
    <w:rsid w:val="00303C1D"/>
    <w:rsid w:val="00303E69"/>
    <w:rsid w:val="00304791"/>
    <w:rsid w:val="00304924"/>
    <w:rsid w:val="00305A5E"/>
    <w:rsid w:val="00305CB0"/>
    <w:rsid w:val="0030615F"/>
    <w:rsid w:val="00306369"/>
    <w:rsid w:val="0030640B"/>
    <w:rsid w:val="003074E0"/>
    <w:rsid w:val="003101FA"/>
    <w:rsid w:val="00311ACD"/>
    <w:rsid w:val="003121D6"/>
    <w:rsid w:val="003127A5"/>
    <w:rsid w:val="00312F97"/>
    <w:rsid w:val="00313C7D"/>
    <w:rsid w:val="0031407B"/>
    <w:rsid w:val="00314E81"/>
    <w:rsid w:val="003160D3"/>
    <w:rsid w:val="0031724B"/>
    <w:rsid w:val="00317392"/>
    <w:rsid w:val="003173E3"/>
    <w:rsid w:val="00317F60"/>
    <w:rsid w:val="00321003"/>
    <w:rsid w:val="00321624"/>
    <w:rsid w:val="00321DF4"/>
    <w:rsid w:val="00321F4D"/>
    <w:rsid w:val="0032299C"/>
    <w:rsid w:val="00322D9C"/>
    <w:rsid w:val="0032419E"/>
    <w:rsid w:val="00324A37"/>
    <w:rsid w:val="0032547A"/>
    <w:rsid w:val="00325DFA"/>
    <w:rsid w:val="0032667D"/>
    <w:rsid w:val="0032751E"/>
    <w:rsid w:val="00327808"/>
    <w:rsid w:val="00330078"/>
    <w:rsid w:val="00330107"/>
    <w:rsid w:val="003308EB"/>
    <w:rsid w:val="00331B9C"/>
    <w:rsid w:val="00332571"/>
    <w:rsid w:val="0033263C"/>
    <w:rsid w:val="003329C6"/>
    <w:rsid w:val="00332E36"/>
    <w:rsid w:val="003336F7"/>
    <w:rsid w:val="00333B0F"/>
    <w:rsid w:val="00334353"/>
    <w:rsid w:val="00335AC4"/>
    <w:rsid w:val="00335B32"/>
    <w:rsid w:val="00335E97"/>
    <w:rsid w:val="00336C2C"/>
    <w:rsid w:val="00337016"/>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33C6"/>
    <w:rsid w:val="003633ED"/>
    <w:rsid w:val="003640C8"/>
    <w:rsid w:val="003642F2"/>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303"/>
    <w:rsid w:val="00383E14"/>
    <w:rsid w:val="003849FB"/>
    <w:rsid w:val="00385780"/>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939"/>
    <w:rsid w:val="003A2AE8"/>
    <w:rsid w:val="003A2C0D"/>
    <w:rsid w:val="003A2E34"/>
    <w:rsid w:val="003A495F"/>
    <w:rsid w:val="003A4A0C"/>
    <w:rsid w:val="003A58D3"/>
    <w:rsid w:val="003A673E"/>
    <w:rsid w:val="003A773E"/>
    <w:rsid w:val="003B0F99"/>
    <w:rsid w:val="003B22C6"/>
    <w:rsid w:val="003B2ED0"/>
    <w:rsid w:val="003B3DF4"/>
    <w:rsid w:val="003B4DF6"/>
    <w:rsid w:val="003B5032"/>
    <w:rsid w:val="003B59DA"/>
    <w:rsid w:val="003B5B68"/>
    <w:rsid w:val="003B6138"/>
    <w:rsid w:val="003B7717"/>
    <w:rsid w:val="003B7A94"/>
    <w:rsid w:val="003C049A"/>
    <w:rsid w:val="003C1D8E"/>
    <w:rsid w:val="003C23C5"/>
    <w:rsid w:val="003C2513"/>
    <w:rsid w:val="003C361D"/>
    <w:rsid w:val="003C56E0"/>
    <w:rsid w:val="003C60F3"/>
    <w:rsid w:val="003C6160"/>
    <w:rsid w:val="003C6EA1"/>
    <w:rsid w:val="003D0138"/>
    <w:rsid w:val="003D0848"/>
    <w:rsid w:val="003D0D98"/>
    <w:rsid w:val="003D1236"/>
    <w:rsid w:val="003D1477"/>
    <w:rsid w:val="003D188C"/>
    <w:rsid w:val="003D1C22"/>
    <w:rsid w:val="003D1FFD"/>
    <w:rsid w:val="003D23B1"/>
    <w:rsid w:val="003D259D"/>
    <w:rsid w:val="003D3A94"/>
    <w:rsid w:val="003D3C93"/>
    <w:rsid w:val="003D3FE9"/>
    <w:rsid w:val="003D497E"/>
    <w:rsid w:val="003D4CAC"/>
    <w:rsid w:val="003D4E5D"/>
    <w:rsid w:val="003D59B6"/>
    <w:rsid w:val="003D65EE"/>
    <w:rsid w:val="003D6F97"/>
    <w:rsid w:val="003D73B2"/>
    <w:rsid w:val="003D740B"/>
    <w:rsid w:val="003E0D29"/>
    <w:rsid w:val="003E16A2"/>
    <w:rsid w:val="003E17B5"/>
    <w:rsid w:val="003E1F2D"/>
    <w:rsid w:val="003E20A7"/>
    <w:rsid w:val="003E2742"/>
    <w:rsid w:val="003E2E2B"/>
    <w:rsid w:val="003E3457"/>
    <w:rsid w:val="003E4494"/>
    <w:rsid w:val="003E47B9"/>
    <w:rsid w:val="003E4943"/>
    <w:rsid w:val="003E5D6A"/>
    <w:rsid w:val="003E6698"/>
    <w:rsid w:val="003E6760"/>
    <w:rsid w:val="003E69C7"/>
    <w:rsid w:val="003E7A9D"/>
    <w:rsid w:val="003E7FF8"/>
    <w:rsid w:val="003F05C3"/>
    <w:rsid w:val="003F232D"/>
    <w:rsid w:val="003F27D9"/>
    <w:rsid w:val="003F281B"/>
    <w:rsid w:val="003F2C73"/>
    <w:rsid w:val="003F4076"/>
    <w:rsid w:val="003F4E63"/>
    <w:rsid w:val="003F6606"/>
    <w:rsid w:val="003F6B8B"/>
    <w:rsid w:val="003F7428"/>
    <w:rsid w:val="003F77C9"/>
    <w:rsid w:val="0040054B"/>
    <w:rsid w:val="00400CE1"/>
    <w:rsid w:val="00400D3C"/>
    <w:rsid w:val="00400DD4"/>
    <w:rsid w:val="00400FDE"/>
    <w:rsid w:val="00401028"/>
    <w:rsid w:val="00401BCD"/>
    <w:rsid w:val="00403C16"/>
    <w:rsid w:val="0040410D"/>
    <w:rsid w:val="00404D6E"/>
    <w:rsid w:val="00405E25"/>
    <w:rsid w:val="00406060"/>
    <w:rsid w:val="00406F23"/>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0C23"/>
    <w:rsid w:val="00421323"/>
    <w:rsid w:val="004217A1"/>
    <w:rsid w:val="00421C11"/>
    <w:rsid w:val="00422148"/>
    <w:rsid w:val="00422230"/>
    <w:rsid w:val="00423527"/>
    <w:rsid w:val="00423549"/>
    <w:rsid w:val="0042381D"/>
    <w:rsid w:val="00424429"/>
    <w:rsid w:val="00424C3A"/>
    <w:rsid w:val="00425258"/>
    <w:rsid w:val="00427698"/>
    <w:rsid w:val="004301C5"/>
    <w:rsid w:val="00431480"/>
    <w:rsid w:val="0043149B"/>
    <w:rsid w:val="00431A72"/>
    <w:rsid w:val="00432582"/>
    <w:rsid w:val="00433622"/>
    <w:rsid w:val="0043401E"/>
    <w:rsid w:val="00434DB3"/>
    <w:rsid w:val="0043586E"/>
    <w:rsid w:val="00435B8D"/>
    <w:rsid w:val="00435BB5"/>
    <w:rsid w:val="00436CD9"/>
    <w:rsid w:val="00437799"/>
    <w:rsid w:val="004377A7"/>
    <w:rsid w:val="00437A9F"/>
    <w:rsid w:val="00437FC8"/>
    <w:rsid w:val="00440158"/>
    <w:rsid w:val="00442510"/>
    <w:rsid w:val="00442BAA"/>
    <w:rsid w:val="0044319A"/>
    <w:rsid w:val="00443A82"/>
    <w:rsid w:val="00443B46"/>
    <w:rsid w:val="004441C5"/>
    <w:rsid w:val="00444862"/>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1B77"/>
    <w:rsid w:val="00462330"/>
    <w:rsid w:val="00462E8E"/>
    <w:rsid w:val="00464158"/>
    <w:rsid w:val="004656F3"/>
    <w:rsid w:val="004666AB"/>
    <w:rsid w:val="00467DA5"/>
    <w:rsid w:val="00467FCC"/>
    <w:rsid w:val="004709A5"/>
    <w:rsid w:val="00470B8B"/>
    <w:rsid w:val="00471B3A"/>
    <w:rsid w:val="00471D57"/>
    <w:rsid w:val="0047242B"/>
    <w:rsid w:val="004730B5"/>
    <w:rsid w:val="00473B21"/>
    <w:rsid w:val="00473FB5"/>
    <w:rsid w:val="00474623"/>
    <w:rsid w:val="00474FE3"/>
    <w:rsid w:val="004757C3"/>
    <w:rsid w:val="00477B2C"/>
    <w:rsid w:val="00480294"/>
    <w:rsid w:val="004806BA"/>
    <w:rsid w:val="00480AF3"/>
    <w:rsid w:val="00480EFE"/>
    <w:rsid w:val="004815E5"/>
    <w:rsid w:val="00481C4D"/>
    <w:rsid w:val="004820E2"/>
    <w:rsid w:val="00482305"/>
    <w:rsid w:val="00482E09"/>
    <w:rsid w:val="00483040"/>
    <w:rsid w:val="00484A03"/>
    <w:rsid w:val="00485690"/>
    <w:rsid w:val="00485A16"/>
    <w:rsid w:val="00485D1A"/>
    <w:rsid w:val="00486100"/>
    <w:rsid w:val="00486EA9"/>
    <w:rsid w:val="00487E9E"/>
    <w:rsid w:val="0049016A"/>
    <w:rsid w:val="00490EFA"/>
    <w:rsid w:val="00491D26"/>
    <w:rsid w:val="004922EA"/>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6DC0"/>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375"/>
    <w:rsid w:val="004C2C1C"/>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D6B2C"/>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14FC"/>
    <w:rsid w:val="004F298A"/>
    <w:rsid w:val="004F2BB0"/>
    <w:rsid w:val="004F40E9"/>
    <w:rsid w:val="004F5388"/>
    <w:rsid w:val="004F53C4"/>
    <w:rsid w:val="004F594E"/>
    <w:rsid w:val="004F6736"/>
    <w:rsid w:val="004F709F"/>
    <w:rsid w:val="00501CCC"/>
    <w:rsid w:val="00501DED"/>
    <w:rsid w:val="00501F62"/>
    <w:rsid w:val="00502A8D"/>
    <w:rsid w:val="00502AE7"/>
    <w:rsid w:val="00502C58"/>
    <w:rsid w:val="005034A2"/>
    <w:rsid w:val="00503A2C"/>
    <w:rsid w:val="00504051"/>
    <w:rsid w:val="0050450B"/>
    <w:rsid w:val="0050546C"/>
    <w:rsid w:val="00505CC0"/>
    <w:rsid w:val="00505DEA"/>
    <w:rsid w:val="00505EEB"/>
    <w:rsid w:val="00505F51"/>
    <w:rsid w:val="00506143"/>
    <w:rsid w:val="00510431"/>
    <w:rsid w:val="005108E4"/>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99D"/>
    <w:rsid w:val="00523A31"/>
    <w:rsid w:val="0052478D"/>
    <w:rsid w:val="0052496F"/>
    <w:rsid w:val="0052589A"/>
    <w:rsid w:val="00525CA5"/>
    <w:rsid w:val="00526E12"/>
    <w:rsid w:val="00527717"/>
    <w:rsid w:val="005304F0"/>
    <w:rsid w:val="00531872"/>
    <w:rsid w:val="00531C9B"/>
    <w:rsid w:val="00532988"/>
    <w:rsid w:val="00532E0A"/>
    <w:rsid w:val="00532EB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BE1"/>
    <w:rsid w:val="00550DD8"/>
    <w:rsid w:val="00551197"/>
    <w:rsid w:val="00551CE9"/>
    <w:rsid w:val="00552593"/>
    <w:rsid w:val="00553CF6"/>
    <w:rsid w:val="0055405D"/>
    <w:rsid w:val="005546E5"/>
    <w:rsid w:val="00554EED"/>
    <w:rsid w:val="00554F96"/>
    <w:rsid w:val="005551C4"/>
    <w:rsid w:val="005557E4"/>
    <w:rsid w:val="00555D32"/>
    <w:rsid w:val="00556162"/>
    <w:rsid w:val="00556FB0"/>
    <w:rsid w:val="00557241"/>
    <w:rsid w:val="005572A3"/>
    <w:rsid w:val="0055765B"/>
    <w:rsid w:val="00560185"/>
    <w:rsid w:val="00561E6F"/>
    <w:rsid w:val="00562260"/>
    <w:rsid w:val="005647DB"/>
    <w:rsid w:val="0056510F"/>
    <w:rsid w:val="00565305"/>
    <w:rsid w:val="005654A4"/>
    <w:rsid w:val="00566A8E"/>
    <w:rsid w:val="00566B75"/>
    <w:rsid w:val="005673AF"/>
    <w:rsid w:val="00567CA5"/>
    <w:rsid w:val="005709DD"/>
    <w:rsid w:val="00570B3F"/>
    <w:rsid w:val="00570E40"/>
    <w:rsid w:val="00570E46"/>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978"/>
    <w:rsid w:val="00596F79"/>
    <w:rsid w:val="005971D4"/>
    <w:rsid w:val="0059774C"/>
    <w:rsid w:val="00597ED6"/>
    <w:rsid w:val="005A0EB5"/>
    <w:rsid w:val="005A20B8"/>
    <w:rsid w:val="005A337A"/>
    <w:rsid w:val="005A3B33"/>
    <w:rsid w:val="005A6422"/>
    <w:rsid w:val="005A6E09"/>
    <w:rsid w:val="005A6EAD"/>
    <w:rsid w:val="005A6FE8"/>
    <w:rsid w:val="005A750A"/>
    <w:rsid w:val="005B041B"/>
    <w:rsid w:val="005B1C26"/>
    <w:rsid w:val="005B1E72"/>
    <w:rsid w:val="005B294E"/>
    <w:rsid w:val="005B2E66"/>
    <w:rsid w:val="005B4156"/>
    <w:rsid w:val="005B429C"/>
    <w:rsid w:val="005B4792"/>
    <w:rsid w:val="005B4C7F"/>
    <w:rsid w:val="005B4DDB"/>
    <w:rsid w:val="005B53F0"/>
    <w:rsid w:val="005B5936"/>
    <w:rsid w:val="005B5F75"/>
    <w:rsid w:val="005B6570"/>
    <w:rsid w:val="005B7DDB"/>
    <w:rsid w:val="005C0918"/>
    <w:rsid w:val="005C0ECD"/>
    <w:rsid w:val="005C1780"/>
    <w:rsid w:val="005C20DC"/>
    <w:rsid w:val="005C2582"/>
    <w:rsid w:val="005C327D"/>
    <w:rsid w:val="005C5372"/>
    <w:rsid w:val="005C58C9"/>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D2B"/>
    <w:rsid w:val="005D4E7E"/>
    <w:rsid w:val="005D5A12"/>
    <w:rsid w:val="005D5DCE"/>
    <w:rsid w:val="005D65CE"/>
    <w:rsid w:val="005E1FD1"/>
    <w:rsid w:val="005E2646"/>
    <w:rsid w:val="005E314E"/>
    <w:rsid w:val="005E4164"/>
    <w:rsid w:val="005E41FA"/>
    <w:rsid w:val="005E4F5D"/>
    <w:rsid w:val="005E548C"/>
    <w:rsid w:val="005E54C5"/>
    <w:rsid w:val="005E5B78"/>
    <w:rsid w:val="005E5BB6"/>
    <w:rsid w:val="005E5EB3"/>
    <w:rsid w:val="005E6C5B"/>
    <w:rsid w:val="005E75E9"/>
    <w:rsid w:val="005E7B1A"/>
    <w:rsid w:val="005F059D"/>
    <w:rsid w:val="005F0CA3"/>
    <w:rsid w:val="005F0DD3"/>
    <w:rsid w:val="005F162C"/>
    <w:rsid w:val="005F2C35"/>
    <w:rsid w:val="005F367D"/>
    <w:rsid w:val="005F4F7E"/>
    <w:rsid w:val="005F51DF"/>
    <w:rsid w:val="005F6348"/>
    <w:rsid w:val="005F6C7C"/>
    <w:rsid w:val="005F6CEF"/>
    <w:rsid w:val="005F6D31"/>
    <w:rsid w:val="005F6F87"/>
    <w:rsid w:val="006011A7"/>
    <w:rsid w:val="0060184E"/>
    <w:rsid w:val="0060289F"/>
    <w:rsid w:val="006028B8"/>
    <w:rsid w:val="00602ED0"/>
    <w:rsid w:val="00603271"/>
    <w:rsid w:val="00603B3C"/>
    <w:rsid w:val="006045E5"/>
    <w:rsid w:val="00604998"/>
    <w:rsid w:val="00604EF2"/>
    <w:rsid w:val="00605AEF"/>
    <w:rsid w:val="00607C88"/>
    <w:rsid w:val="00607FD1"/>
    <w:rsid w:val="0061003F"/>
    <w:rsid w:val="00611C4A"/>
    <w:rsid w:val="00612CB0"/>
    <w:rsid w:val="00613130"/>
    <w:rsid w:val="0061351F"/>
    <w:rsid w:val="006144E0"/>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34D"/>
    <w:rsid w:val="00631464"/>
    <w:rsid w:val="00632BD6"/>
    <w:rsid w:val="006332A1"/>
    <w:rsid w:val="006333BA"/>
    <w:rsid w:val="006333E6"/>
    <w:rsid w:val="006348F2"/>
    <w:rsid w:val="00634ECA"/>
    <w:rsid w:val="00635A72"/>
    <w:rsid w:val="006360C9"/>
    <w:rsid w:val="006361E6"/>
    <w:rsid w:val="00636435"/>
    <w:rsid w:val="0063735D"/>
    <w:rsid w:val="00640C37"/>
    <w:rsid w:val="0064147E"/>
    <w:rsid w:val="00641CF7"/>
    <w:rsid w:val="0064285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1B"/>
    <w:rsid w:val="00656271"/>
    <w:rsid w:val="00657042"/>
    <w:rsid w:val="00657C89"/>
    <w:rsid w:val="00657F2B"/>
    <w:rsid w:val="00660D91"/>
    <w:rsid w:val="00661D17"/>
    <w:rsid w:val="0066240C"/>
    <w:rsid w:val="006649D0"/>
    <w:rsid w:val="00664C1F"/>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75CB9"/>
    <w:rsid w:val="00676655"/>
    <w:rsid w:val="00680578"/>
    <w:rsid w:val="00680871"/>
    <w:rsid w:val="0068176A"/>
    <w:rsid w:val="0068381E"/>
    <w:rsid w:val="00683ECB"/>
    <w:rsid w:val="00683F2C"/>
    <w:rsid w:val="00684E05"/>
    <w:rsid w:val="00685B7C"/>
    <w:rsid w:val="0068602C"/>
    <w:rsid w:val="0068678D"/>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A7DF6"/>
    <w:rsid w:val="006B1342"/>
    <w:rsid w:val="006B1C33"/>
    <w:rsid w:val="006B3137"/>
    <w:rsid w:val="006B3D36"/>
    <w:rsid w:val="006B4409"/>
    <w:rsid w:val="006B44C8"/>
    <w:rsid w:val="006B48C3"/>
    <w:rsid w:val="006B6C34"/>
    <w:rsid w:val="006B6D3C"/>
    <w:rsid w:val="006B6D68"/>
    <w:rsid w:val="006B7A7E"/>
    <w:rsid w:val="006C2035"/>
    <w:rsid w:val="006C26D2"/>
    <w:rsid w:val="006C3A2E"/>
    <w:rsid w:val="006C4354"/>
    <w:rsid w:val="006C499F"/>
    <w:rsid w:val="006C591E"/>
    <w:rsid w:val="006C5F08"/>
    <w:rsid w:val="006C62E9"/>
    <w:rsid w:val="006C7C87"/>
    <w:rsid w:val="006D0660"/>
    <w:rsid w:val="006D094B"/>
    <w:rsid w:val="006D243C"/>
    <w:rsid w:val="006D2BB7"/>
    <w:rsid w:val="006D2D79"/>
    <w:rsid w:val="006D3DCE"/>
    <w:rsid w:val="006D406C"/>
    <w:rsid w:val="006D426C"/>
    <w:rsid w:val="006D4AD1"/>
    <w:rsid w:val="006D5C83"/>
    <w:rsid w:val="006D6561"/>
    <w:rsid w:val="006D66C6"/>
    <w:rsid w:val="006D74DA"/>
    <w:rsid w:val="006E0684"/>
    <w:rsid w:val="006E14B1"/>
    <w:rsid w:val="006E187F"/>
    <w:rsid w:val="006E2972"/>
    <w:rsid w:val="006E361A"/>
    <w:rsid w:val="006E4954"/>
    <w:rsid w:val="006E52DD"/>
    <w:rsid w:val="006E57BE"/>
    <w:rsid w:val="006E5DBC"/>
    <w:rsid w:val="006E62B4"/>
    <w:rsid w:val="006E7CC1"/>
    <w:rsid w:val="006F1512"/>
    <w:rsid w:val="006F158A"/>
    <w:rsid w:val="006F1FF4"/>
    <w:rsid w:val="006F2496"/>
    <w:rsid w:val="006F2EED"/>
    <w:rsid w:val="006F38B2"/>
    <w:rsid w:val="006F3E40"/>
    <w:rsid w:val="006F4BFA"/>
    <w:rsid w:val="006F526A"/>
    <w:rsid w:val="006F547E"/>
    <w:rsid w:val="006F54C4"/>
    <w:rsid w:val="006F5CA3"/>
    <w:rsid w:val="006F5DF5"/>
    <w:rsid w:val="006F790A"/>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1E81"/>
    <w:rsid w:val="00712FF9"/>
    <w:rsid w:val="0071329F"/>
    <w:rsid w:val="00715EF3"/>
    <w:rsid w:val="00717CEE"/>
    <w:rsid w:val="0072047A"/>
    <w:rsid w:val="00721021"/>
    <w:rsid w:val="00721DF0"/>
    <w:rsid w:val="007234D9"/>
    <w:rsid w:val="007238DF"/>
    <w:rsid w:val="0072399B"/>
    <w:rsid w:val="00724089"/>
    <w:rsid w:val="0072410C"/>
    <w:rsid w:val="007243CC"/>
    <w:rsid w:val="00725093"/>
    <w:rsid w:val="00725819"/>
    <w:rsid w:val="00725AE8"/>
    <w:rsid w:val="00726522"/>
    <w:rsid w:val="00726956"/>
    <w:rsid w:val="00727996"/>
    <w:rsid w:val="00730764"/>
    <w:rsid w:val="0073252D"/>
    <w:rsid w:val="00733AB5"/>
    <w:rsid w:val="007342F5"/>
    <w:rsid w:val="0073537F"/>
    <w:rsid w:val="00735530"/>
    <w:rsid w:val="0073584A"/>
    <w:rsid w:val="007365FC"/>
    <w:rsid w:val="0073735B"/>
    <w:rsid w:val="007416EE"/>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39"/>
    <w:rsid w:val="0075598D"/>
    <w:rsid w:val="00756031"/>
    <w:rsid w:val="0075668D"/>
    <w:rsid w:val="007577A9"/>
    <w:rsid w:val="00760114"/>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2BB0"/>
    <w:rsid w:val="0079316C"/>
    <w:rsid w:val="00793C89"/>
    <w:rsid w:val="0079469A"/>
    <w:rsid w:val="00794AFD"/>
    <w:rsid w:val="007951C6"/>
    <w:rsid w:val="007958CF"/>
    <w:rsid w:val="00795B0B"/>
    <w:rsid w:val="00795F94"/>
    <w:rsid w:val="00795FE8"/>
    <w:rsid w:val="00797D35"/>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5E5F"/>
    <w:rsid w:val="007B6AD0"/>
    <w:rsid w:val="007B7DA0"/>
    <w:rsid w:val="007C1383"/>
    <w:rsid w:val="007C178A"/>
    <w:rsid w:val="007C2065"/>
    <w:rsid w:val="007C3859"/>
    <w:rsid w:val="007C4EFD"/>
    <w:rsid w:val="007C5BC0"/>
    <w:rsid w:val="007C65A2"/>
    <w:rsid w:val="007C6B67"/>
    <w:rsid w:val="007C7DB2"/>
    <w:rsid w:val="007D0538"/>
    <w:rsid w:val="007D0630"/>
    <w:rsid w:val="007D0AF0"/>
    <w:rsid w:val="007D0C62"/>
    <w:rsid w:val="007D0F85"/>
    <w:rsid w:val="007D2DD3"/>
    <w:rsid w:val="007D5163"/>
    <w:rsid w:val="007D64B4"/>
    <w:rsid w:val="007D7173"/>
    <w:rsid w:val="007D7DD2"/>
    <w:rsid w:val="007E11D3"/>
    <w:rsid w:val="007E1482"/>
    <w:rsid w:val="007E1BE2"/>
    <w:rsid w:val="007E2C14"/>
    <w:rsid w:val="007E3169"/>
    <w:rsid w:val="007E3942"/>
    <w:rsid w:val="007E4585"/>
    <w:rsid w:val="007E5AB5"/>
    <w:rsid w:val="007E5ABC"/>
    <w:rsid w:val="007E5DA1"/>
    <w:rsid w:val="007E5DFD"/>
    <w:rsid w:val="007E6183"/>
    <w:rsid w:val="007E7961"/>
    <w:rsid w:val="007F0011"/>
    <w:rsid w:val="007F0858"/>
    <w:rsid w:val="007F0AD9"/>
    <w:rsid w:val="007F0D01"/>
    <w:rsid w:val="007F1638"/>
    <w:rsid w:val="007F1801"/>
    <w:rsid w:val="007F2AE1"/>
    <w:rsid w:val="007F382B"/>
    <w:rsid w:val="007F586A"/>
    <w:rsid w:val="007F65C2"/>
    <w:rsid w:val="007F7EFC"/>
    <w:rsid w:val="0080079F"/>
    <w:rsid w:val="00801353"/>
    <w:rsid w:val="0080235D"/>
    <w:rsid w:val="008031DB"/>
    <w:rsid w:val="00803AD9"/>
    <w:rsid w:val="00804B8A"/>
    <w:rsid w:val="008055C2"/>
    <w:rsid w:val="00805711"/>
    <w:rsid w:val="008059F7"/>
    <w:rsid w:val="00805A25"/>
    <w:rsid w:val="00805DC4"/>
    <w:rsid w:val="008060DA"/>
    <w:rsid w:val="0080704D"/>
    <w:rsid w:val="008071D7"/>
    <w:rsid w:val="00807E00"/>
    <w:rsid w:val="008107EC"/>
    <w:rsid w:val="00810A94"/>
    <w:rsid w:val="008110D6"/>
    <w:rsid w:val="0081124D"/>
    <w:rsid w:val="00811666"/>
    <w:rsid w:val="00812199"/>
    <w:rsid w:val="0081233E"/>
    <w:rsid w:val="00812A0D"/>
    <w:rsid w:val="00812ADE"/>
    <w:rsid w:val="00813270"/>
    <w:rsid w:val="008139C8"/>
    <w:rsid w:val="00814624"/>
    <w:rsid w:val="00814A45"/>
    <w:rsid w:val="008179C2"/>
    <w:rsid w:val="0082080C"/>
    <w:rsid w:val="0082082C"/>
    <w:rsid w:val="00820ACB"/>
    <w:rsid w:val="0082153F"/>
    <w:rsid w:val="00821B01"/>
    <w:rsid w:val="00822F5D"/>
    <w:rsid w:val="00823017"/>
    <w:rsid w:val="0082330A"/>
    <w:rsid w:val="00824AB0"/>
    <w:rsid w:val="00825697"/>
    <w:rsid w:val="008256D8"/>
    <w:rsid w:val="008260D5"/>
    <w:rsid w:val="008264AE"/>
    <w:rsid w:val="0082659A"/>
    <w:rsid w:val="0082697E"/>
    <w:rsid w:val="008270B7"/>
    <w:rsid w:val="00827496"/>
    <w:rsid w:val="0082768E"/>
    <w:rsid w:val="0082797C"/>
    <w:rsid w:val="008305BC"/>
    <w:rsid w:val="008305BD"/>
    <w:rsid w:val="00830828"/>
    <w:rsid w:val="0083166E"/>
    <w:rsid w:val="0083190D"/>
    <w:rsid w:val="00831F5C"/>
    <w:rsid w:val="008321EA"/>
    <w:rsid w:val="00833272"/>
    <w:rsid w:val="0083341B"/>
    <w:rsid w:val="00833DAE"/>
    <w:rsid w:val="00834E83"/>
    <w:rsid w:val="00835F8E"/>
    <w:rsid w:val="00837040"/>
    <w:rsid w:val="00837A76"/>
    <w:rsid w:val="00840224"/>
    <w:rsid w:val="0084134F"/>
    <w:rsid w:val="008414A4"/>
    <w:rsid w:val="0084173F"/>
    <w:rsid w:val="00841A3C"/>
    <w:rsid w:val="00842A43"/>
    <w:rsid w:val="00842E3D"/>
    <w:rsid w:val="0084383D"/>
    <w:rsid w:val="00843EBC"/>
    <w:rsid w:val="00843F22"/>
    <w:rsid w:val="008445EC"/>
    <w:rsid w:val="00844CF5"/>
    <w:rsid w:val="00846990"/>
    <w:rsid w:val="00847917"/>
    <w:rsid w:val="00851127"/>
    <w:rsid w:val="00851428"/>
    <w:rsid w:val="00851987"/>
    <w:rsid w:val="00852322"/>
    <w:rsid w:val="008545A1"/>
    <w:rsid w:val="00855652"/>
    <w:rsid w:val="00855A4F"/>
    <w:rsid w:val="008563D9"/>
    <w:rsid w:val="008566DC"/>
    <w:rsid w:val="00856764"/>
    <w:rsid w:val="008610F1"/>
    <w:rsid w:val="008617FB"/>
    <w:rsid w:val="008642DD"/>
    <w:rsid w:val="00864DA8"/>
    <w:rsid w:val="00866BDB"/>
    <w:rsid w:val="0086740A"/>
    <w:rsid w:val="0086761B"/>
    <w:rsid w:val="00867873"/>
    <w:rsid w:val="00870905"/>
    <w:rsid w:val="00873558"/>
    <w:rsid w:val="0087505F"/>
    <w:rsid w:val="008758B4"/>
    <w:rsid w:val="00875A97"/>
    <w:rsid w:val="00876BA0"/>
    <w:rsid w:val="00877A90"/>
    <w:rsid w:val="0088077C"/>
    <w:rsid w:val="00880A9B"/>
    <w:rsid w:val="00880B95"/>
    <w:rsid w:val="00880E15"/>
    <w:rsid w:val="00880EE5"/>
    <w:rsid w:val="00881D5F"/>
    <w:rsid w:val="00882C78"/>
    <w:rsid w:val="00883063"/>
    <w:rsid w:val="0088317A"/>
    <w:rsid w:val="008845D7"/>
    <w:rsid w:val="00885054"/>
    <w:rsid w:val="008853D6"/>
    <w:rsid w:val="00885F3E"/>
    <w:rsid w:val="00886FF3"/>
    <w:rsid w:val="00887576"/>
    <w:rsid w:val="00887C4A"/>
    <w:rsid w:val="0089046A"/>
    <w:rsid w:val="00890789"/>
    <w:rsid w:val="008912A1"/>
    <w:rsid w:val="00891AF4"/>
    <w:rsid w:val="00891B75"/>
    <w:rsid w:val="00892517"/>
    <w:rsid w:val="00892E4E"/>
    <w:rsid w:val="00892ECD"/>
    <w:rsid w:val="00893A61"/>
    <w:rsid w:val="00895622"/>
    <w:rsid w:val="00895A80"/>
    <w:rsid w:val="00895B07"/>
    <w:rsid w:val="00897F2D"/>
    <w:rsid w:val="008A0919"/>
    <w:rsid w:val="008A1410"/>
    <w:rsid w:val="008A2123"/>
    <w:rsid w:val="008A2DEB"/>
    <w:rsid w:val="008A42CC"/>
    <w:rsid w:val="008A5488"/>
    <w:rsid w:val="008A5626"/>
    <w:rsid w:val="008B009B"/>
    <w:rsid w:val="008B0ECA"/>
    <w:rsid w:val="008B3535"/>
    <w:rsid w:val="008B4354"/>
    <w:rsid w:val="008B4BCC"/>
    <w:rsid w:val="008B4C4A"/>
    <w:rsid w:val="008B51EC"/>
    <w:rsid w:val="008B556E"/>
    <w:rsid w:val="008B60C8"/>
    <w:rsid w:val="008B6942"/>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407F"/>
    <w:rsid w:val="008D49F1"/>
    <w:rsid w:val="008D4BDF"/>
    <w:rsid w:val="008D5377"/>
    <w:rsid w:val="008D545B"/>
    <w:rsid w:val="008D5860"/>
    <w:rsid w:val="008D5F16"/>
    <w:rsid w:val="008D6223"/>
    <w:rsid w:val="008D6341"/>
    <w:rsid w:val="008D650E"/>
    <w:rsid w:val="008D6531"/>
    <w:rsid w:val="008D6CE8"/>
    <w:rsid w:val="008D6F53"/>
    <w:rsid w:val="008D709D"/>
    <w:rsid w:val="008D7ADB"/>
    <w:rsid w:val="008D7D7D"/>
    <w:rsid w:val="008E012D"/>
    <w:rsid w:val="008E20C0"/>
    <w:rsid w:val="008E254F"/>
    <w:rsid w:val="008E2F60"/>
    <w:rsid w:val="008E3150"/>
    <w:rsid w:val="008E5838"/>
    <w:rsid w:val="008E5C19"/>
    <w:rsid w:val="008E5FB4"/>
    <w:rsid w:val="008E6263"/>
    <w:rsid w:val="008E6A6C"/>
    <w:rsid w:val="008E6ABB"/>
    <w:rsid w:val="008E6D29"/>
    <w:rsid w:val="008F02D2"/>
    <w:rsid w:val="008F0586"/>
    <w:rsid w:val="008F0F4E"/>
    <w:rsid w:val="008F11AF"/>
    <w:rsid w:val="008F13A8"/>
    <w:rsid w:val="008F1A44"/>
    <w:rsid w:val="008F51A3"/>
    <w:rsid w:val="008F5610"/>
    <w:rsid w:val="008F5D2D"/>
    <w:rsid w:val="008F6180"/>
    <w:rsid w:val="008F6FF0"/>
    <w:rsid w:val="008F7C67"/>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604"/>
    <w:rsid w:val="00916B37"/>
    <w:rsid w:val="00917D99"/>
    <w:rsid w:val="009200B6"/>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A86"/>
    <w:rsid w:val="00950CA4"/>
    <w:rsid w:val="0095140B"/>
    <w:rsid w:val="00951DBE"/>
    <w:rsid w:val="00951DC1"/>
    <w:rsid w:val="00952876"/>
    <w:rsid w:val="00952DBF"/>
    <w:rsid w:val="00952DE9"/>
    <w:rsid w:val="0095358A"/>
    <w:rsid w:val="00955796"/>
    <w:rsid w:val="0095604E"/>
    <w:rsid w:val="00956AE7"/>
    <w:rsid w:val="00957447"/>
    <w:rsid w:val="00957483"/>
    <w:rsid w:val="009575B2"/>
    <w:rsid w:val="00960A1D"/>
    <w:rsid w:val="009611E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355"/>
    <w:rsid w:val="0097287A"/>
    <w:rsid w:val="00973C18"/>
    <w:rsid w:val="009743DD"/>
    <w:rsid w:val="00974CBE"/>
    <w:rsid w:val="00976191"/>
    <w:rsid w:val="00980F86"/>
    <w:rsid w:val="00981301"/>
    <w:rsid w:val="0098320B"/>
    <w:rsid w:val="0098394B"/>
    <w:rsid w:val="00983CA8"/>
    <w:rsid w:val="00983D21"/>
    <w:rsid w:val="00983D70"/>
    <w:rsid w:val="00984FE2"/>
    <w:rsid w:val="0098505B"/>
    <w:rsid w:val="009851F2"/>
    <w:rsid w:val="00985B3C"/>
    <w:rsid w:val="00985DF0"/>
    <w:rsid w:val="0098609A"/>
    <w:rsid w:val="00986301"/>
    <w:rsid w:val="00986FFF"/>
    <w:rsid w:val="00987649"/>
    <w:rsid w:val="009920F3"/>
    <w:rsid w:val="009928F1"/>
    <w:rsid w:val="00993FAB"/>
    <w:rsid w:val="009944D2"/>
    <w:rsid w:val="00994EAF"/>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6378"/>
    <w:rsid w:val="009B72BF"/>
    <w:rsid w:val="009B7445"/>
    <w:rsid w:val="009B7940"/>
    <w:rsid w:val="009B7DB2"/>
    <w:rsid w:val="009C292C"/>
    <w:rsid w:val="009C32AB"/>
    <w:rsid w:val="009C340B"/>
    <w:rsid w:val="009C364B"/>
    <w:rsid w:val="009C3803"/>
    <w:rsid w:val="009C3AB3"/>
    <w:rsid w:val="009C47BE"/>
    <w:rsid w:val="009C4E00"/>
    <w:rsid w:val="009C67E1"/>
    <w:rsid w:val="009C6FA3"/>
    <w:rsid w:val="009C7E0B"/>
    <w:rsid w:val="009D078A"/>
    <w:rsid w:val="009D0D90"/>
    <w:rsid w:val="009D1595"/>
    <w:rsid w:val="009D1AAD"/>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732"/>
    <w:rsid w:val="009E5807"/>
    <w:rsid w:val="009E5A85"/>
    <w:rsid w:val="009E7A32"/>
    <w:rsid w:val="009F0077"/>
    <w:rsid w:val="009F0194"/>
    <w:rsid w:val="009F2031"/>
    <w:rsid w:val="009F204F"/>
    <w:rsid w:val="009F2074"/>
    <w:rsid w:val="009F2FD0"/>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2EA"/>
    <w:rsid w:val="00A0474F"/>
    <w:rsid w:val="00A0538E"/>
    <w:rsid w:val="00A05737"/>
    <w:rsid w:val="00A067F0"/>
    <w:rsid w:val="00A06C25"/>
    <w:rsid w:val="00A104E4"/>
    <w:rsid w:val="00A105FA"/>
    <w:rsid w:val="00A10A14"/>
    <w:rsid w:val="00A117EE"/>
    <w:rsid w:val="00A11B90"/>
    <w:rsid w:val="00A122A4"/>
    <w:rsid w:val="00A12B82"/>
    <w:rsid w:val="00A13A79"/>
    <w:rsid w:val="00A14ACC"/>
    <w:rsid w:val="00A14E08"/>
    <w:rsid w:val="00A14EA3"/>
    <w:rsid w:val="00A15620"/>
    <w:rsid w:val="00A15A64"/>
    <w:rsid w:val="00A16293"/>
    <w:rsid w:val="00A163D3"/>
    <w:rsid w:val="00A175E8"/>
    <w:rsid w:val="00A17C4F"/>
    <w:rsid w:val="00A17D9B"/>
    <w:rsid w:val="00A20EB2"/>
    <w:rsid w:val="00A210CA"/>
    <w:rsid w:val="00A21AE1"/>
    <w:rsid w:val="00A22C04"/>
    <w:rsid w:val="00A2344C"/>
    <w:rsid w:val="00A2391C"/>
    <w:rsid w:val="00A23ACE"/>
    <w:rsid w:val="00A30177"/>
    <w:rsid w:val="00A3078A"/>
    <w:rsid w:val="00A3094D"/>
    <w:rsid w:val="00A30CA4"/>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376"/>
    <w:rsid w:val="00A41704"/>
    <w:rsid w:val="00A42AF4"/>
    <w:rsid w:val="00A443DE"/>
    <w:rsid w:val="00A44926"/>
    <w:rsid w:val="00A44CE3"/>
    <w:rsid w:val="00A44E0B"/>
    <w:rsid w:val="00A476C5"/>
    <w:rsid w:val="00A50628"/>
    <w:rsid w:val="00A50892"/>
    <w:rsid w:val="00A50954"/>
    <w:rsid w:val="00A50E52"/>
    <w:rsid w:val="00A527F6"/>
    <w:rsid w:val="00A5295F"/>
    <w:rsid w:val="00A53103"/>
    <w:rsid w:val="00A53258"/>
    <w:rsid w:val="00A53717"/>
    <w:rsid w:val="00A53971"/>
    <w:rsid w:val="00A54A2B"/>
    <w:rsid w:val="00A54C87"/>
    <w:rsid w:val="00A54F9B"/>
    <w:rsid w:val="00A559CE"/>
    <w:rsid w:val="00A55F98"/>
    <w:rsid w:val="00A5650C"/>
    <w:rsid w:val="00A56890"/>
    <w:rsid w:val="00A6178B"/>
    <w:rsid w:val="00A625C4"/>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77726"/>
    <w:rsid w:val="00A80E57"/>
    <w:rsid w:val="00A81A08"/>
    <w:rsid w:val="00A81E36"/>
    <w:rsid w:val="00A82896"/>
    <w:rsid w:val="00A82BAD"/>
    <w:rsid w:val="00A82E29"/>
    <w:rsid w:val="00A82F60"/>
    <w:rsid w:val="00A82FED"/>
    <w:rsid w:val="00A83FBA"/>
    <w:rsid w:val="00A845A9"/>
    <w:rsid w:val="00A85F18"/>
    <w:rsid w:val="00A867CC"/>
    <w:rsid w:val="00A86ABA"/>
    <w:rsid w:val="00A86D2F"/>
    <w:rsid w:val="00A86F57"/>
    <w:rsid w:val="00A873D5"/>
    <w:rsid w:val="00A87426"/>
    <w:rsid w:val="00A8753B"/>
    <w:rsid w:val="00A8761E"/>
    <w:rsid w:val="00A87F08"/>
    <w:rsid w:val="00A90039"/>
    <w:rsid w:val="00A901DD"/>
    <w:rsid w:val="00A901E7"/>
    <w:rsid w:val="00A904D9"/>
    <w:rsid w:val="00A90971"/>
    <w:rsid w:val="00A90BA8"/>
    <w:rsid w:val="00A91299"/>
    <w:rsid w:val="00A92FE6"/>
    <w:rsid w:val="00A93457"/>
    <w:rsid w:val="00A93484"/>
    <w:rsid w:val="00A935F7"/>
    <w:rsid w:val="00A9389E"/>
    <w:rsid w:val="00A943AF"/>
    <w:rsid w:val="00A94947"/>
    <w:rsid w:val="00A957CE"/>
    <w:rsid w:val="00A960CF"/>
    <w:rsid w:val="00A967DD"/>
    <w:rsid w:val="00A975CF"/>
    <w:rsid w:val="00A9764B"/>
    <w:rsid w:val="00A97F19"/>
    <w:rsid w:val="00AA0204"/>
    <w:rsid w:val="00AA1BF5"/>
    <w:rsid w:val="00AA27DF"/>
    <w:rsid w:val="00AA29CB"/>
    <w:rsid w:val="00AA2CCE"/>
    <w:rsid w:val="00AA3550"/>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29C"/>
    <w:rsid w:val="00AC6434"/>
    <w:rsid w:val="00AC69B2"/>
    <w:rsid w:val="00AC6BA0"/>
    <w:rsid w:val="00AC6E91"/>
    <w:rsid w:val="00AC6EBF"/>
    <w:rsid w:val="00AC793B"/>
    <w:rsid w:val="00AC7C28"/>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1C1"/>
    <w:rsid w:val="00AF7751"/>
    <w:rsid w:val="00AF7DFD"/>
    <w:rsid w:val="00B00786"/>
    <w:rsid w:val="00B01259"/>
    <w:rsid w:val="00B015C9"/>
    <w:rsid w:val="00B02B4C"/>
    <w:rsid w:val="00B03024"/>
    <w:rsid w:val="00B0385C"/>
    <w:rsid w:val="00B03A91"/>
    <w:rsid w:val="00B03D55"/>
    <w:rsid w:val="00B04802"/>
    <w:rsid w:val="00B052B6"/>
    <w:rsid w:val="00B06DB4"/>
    <w:rsid w:val="00B10007"/>
    <w:rsid w:val="00B10BB1"/>
    <w:rsid w:val="00B10CB3"/>
    <w:rsid w:val="00B11157"/>
    <w:rsid w:val="00B11DB0"/>
    <w:rsid w:val="00B11DF0"/>
    <w:rsid w:val="00B12312"/>
    <w:rsid w:val="00B12928"/>
    <w:rsid w:val="00B138BC"/>
    <w:rsid w:val="00B14747"/>
    <w:rsid w:val="00B1577F"/>
    <w:rsid w:val="00B16501"/>
    <w:rsid w:val="00B16793"/>
    <w:rsid w:val="00B17C33"/>
    <w:rsid w:val="00B2075F"/>
    <w:rsid w:val="00B22D17"/>
    <w:rsid w:val="00B23F82"/>
    <w:rsid w:val="00B2429C"/>
    <w:rsid w:val="00B24CE3"/>
    <w:rsid w:val="00B25156"/>
    <w:rsid w:val="00B257F2"/>
    <w:rsid w:val="00B26909"/>
    <w:rsid w:val="00B30690"/>
    <w:rsid w:val="00B30980"/>
    <w:rsid w:val="00B31948"/>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4A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3F55"/>
    <w:rsid w:val="00B65190"/>
    <w:rsid w:val="00B65300"/>
    <w:rsid w:val="00B655F6"/>
    <w:rsid w:val="00B65C7C"/>
    <w:rsid w:val="00B662E5"/>
    <w:rsid w:val="00B6645B"/>
    <w:rsid w:val="00B66F9D"/>
    <w:rsid w:val="00B67A03"/>
    <w:rsid w:val="00B67C15"/>
    <w:rsid w:val="00B701FC"/>
    <w:rsid w:val="00B70C11"/>
    <w:rsid w:val="00B71254"/>
    <w:rsid w:val="00B712DD"/>
    <w:rsid w:val="00B71BF3"/>
    <w:rsid w:val="00B7215D"/>
    <w:rsid w:val="00B7340F"/>
    <w:rsid w:val="00B740AF"/>
    <w:rsid w:val="00B74241"/>
    <w:rsid w:val="00B7477C"/>
    <w:rsid w:val="00B74C2F"/>
    <w:rsid w:val="00B75BC2"/>
    <w:rsid w:val="00B75E7C"/>
    <w:rsid w:val="00B75FB5"/>
    <w:rsid w:val="00B76405"/>
    <w:rsid w:val="00B76A5A"/>
    <w:rsid w:val="00B76CB2"/>
    <w:rsid w:val="00B80960"/>
    <w:rsid w:val="00B82522"/>
    <w:rsid w:val="00B84D84"/>
    <w:rsid w:val="00B850D5"/>
    <w:rsid w:val="00B850D7"/>
    <w:rsid w:val="00B85304"/>
    <w:rsid w:val="00B8560D"/>
    <w:rsid w:val="00B85B2C"/>
    <w:rsid w:val="00B86562"/>
    <w:rsid w:val="00B8663C"/>
    <w:rsid w:val="00B86C99"/>
    <w:rsid w:val="00B86EB9"/>
    <w:rsid w:val="00B871C8"/>
    <w:rsid w:val="00B87D34"/>
    <w:rsid w:val="00B901FF"/>
    <w:rsid w:val="00B90B21"/>
    <w:rsid w:val="00B92889"/>
    <w:rsid w:val="00B944C4"/>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7D3"/>
    <w:rsid w:val="00BA4B1C"/>
    <w:rsid w:val="00BA4B78"/>
    <w:rsid w:val="00BA4BB1"/>
    <w:rsid w:val="00BA54A1"/>
    <w:rsid w:val="00BA58AC"/>
    <w:rsid w:val="00BA67DA"/>
    <w:rsid w:val="00BA76AE"/>
    <w:rsid w:val="00BA7B04"/>
    <w:rsid w:val="00BA7B77"/>
    <w:rsid w:val="00BA7B83"/>
    <w:rsid w:val="00BB0112"/>
    <w:rsid w:val="00BB0426"/>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5360"/>
    <w:rsid w:val="00BC62DE"/>
    <w:rsid w:val="00BC6B2A"/>
    <w:rsid w:val="00BC6DE2"/>
    <w:rsid w:val="00BD019F"/>
    <w:rsid w:val="00BD0630"/>
    <w:rsid w:val="00BD0AFB"/>
    <w:rsid w:val="00BD0C1B"/>
    <w:rsid w:val="00BD1485"/>
    <w:rsid w:val="00BD175F"/>
    <w:rsid w:val="00BD329A"/>
    <w:rsid w:val="00BD3463"/>
    <w:rsid w:val="00BD3715"/>
    <w:rsid w:val="00BD4C27"/>
    <w:rsid w:val="00BD4C6B"/>
    <w:rsid w:val="00BD537A"/>
    <w:rsid w:val="00BD578F"/>
    <w:rsid w:val="00BD5F46"/>
    <w:rsid w:val="00BD61A1"/>
    <w:rsid w:val="00BD6712"/>
    <w:rsid w:val="00BD757C"/>
    <w:rsid w:val="00BD75D0"/>
    <w:rsid w:val="00BE342D"/>
    <w:rsid w:val="00BE3A32"/>
    <w:rsid w:val="00BE4B09"/>
    <w:rsid w:val="00BE5839"/>
    <w:rsid w:val="00BE60A4"/>
    <w:rsid w:val="00BE6100"/>
    <w:rsid w:val="00BE6A90"/>
    <w:rsid w:val="00BF0A38"/>
    <w:rsid w:val="00BF0CF5"/>
    <w:rsid w:val="00BF1E43"/>
    <w:rsid w:val="00BF3BCD"/>
    <w:rsid w:val="00BF4EE8"/>
    <w:rsid w:val="00BF538A"/>
    <w:rsid w:val="00BF663B"/>
    <w:rsid w:val="00BF6D3D"/>
    <w:rsid w:val="00BF73EE"/>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5702"/>
    <w:rsid w:val="00C16859"/>
    <w:rsid w:val="00C16B8E"/>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6D6"/>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36E"/>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0EB"/>
    <w:rsid w:val="00C765CF"/>
    <w:rsid w:val="00C768FB"/>
    <w:rsid w:val="00C769BB"/>
    <w:rsid w:val="00C76A3A"/>
    <w:rsid w:val="00C772DF"/>
    <w:rsid w:val="00C81FCB"/>
    <w:rsid w:val="00C821CE"/>
    <w:rsid w:val="00C8317B"/>
    <w:rsid w:val="00C83849"/>
    <w:rsid w:val="00C8386C"/>
    <w:rsid w:val="00C83948"/>
    <w:rsid w:val="00C83E82"/>
    <w:rsid w:val="00C84116"/>
    <w:rsid w:val="00C85F6F"/>
    <w:rsid w:val="00C86539"/>
    <w:rsid w:val="00C86A3A"/>
    <w:rsid w:val="00C904E4"/>
    <w:rsid w:val="00C9133D"/>
    <w:rsid w:val="00C9244D"/>
    <w:rsid w:val="00C927B1"/>
    <w:rsid w:val="00C94BC5"/>
    <w:rsid w:val="00C97857"/>
    <w:rsid w:val="00C978A5"/>
    <w:rsid w:val="00C97E4B"/>
    <w:rsid w:val="00CA00BE"/>
    <w:rsid w:val="00CA1612"/>
    <w:rsid w:val="00CA215A"/>
    <w:rsid w:val="00CA22A5"/>
    <w:rsid w:val="00CA2326"/>
    <w:rsid w:val="00CA3012"/>
    <w:rsid w:val="00CA3883"/>
    <w:rsid w:val="00CA40FA"/>
    <w:rsid w:val="00CA4AE6"/>
    <w:rsid w:val="00CA4C0B"/>
    <w:rsid w:val="00CA6916"/>
    <w:rsid w:val="00CA6A93"/>
    <w:rsid w:val="00CA73D4"/>
    <w:rsid w:val="00CA7952"/>
    <w:rsid w:val="00CA7D3D"/>
    <w:rsid w:val="00CB0878"/>
    <w:rsid w:val="00CB1173"/>
    <w:rsid w:val="00CB18DC"/>
    <w:rsid w:val="00CB1ABD"/>
    <w:rsid w:val="00CB1D04"/>
    <w:rsid w:val="00CB2115"/>
    <w:rsid w:val="00CB432F"/>
    <w:rsid w:val="00CB4998"/>
    <w:rsid w:val="00CB5613"/>
    <w:rsid w:val="00CB5C60"/>
    <w:rsid w:val="00CB75C3"/>
    <w:rsid w:val="00CB7FD7"/>
    <w:rsid w:val="00CC1225"/>
    <w:rsid w:val="00CC1694"/>
    <w:rsid w:val="00CC2636"/>
    <w:rsid w:val="00CC3BAF"/>
    <w:rsid w:val="00CC3CDE"/>
    <w:rsid w:val="00CC52F1"/>
    <w:rsid w:val="00CC5B17"/>
    <w:rsid w:val="00CC5BF2"/>
    <w:rsid w:val="00CC5ED2"/>
    <w:rsid w:val="00CC60B7"/>
    <w:rsid w:val="00CC6E78"/>
    <w:rsid w:val="00CC711B"/>
    <w:rsid w:val="00CD1160"/>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30"/>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9C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42B"/>
    <w:rsid w:val="00D178C1"/>
    <w:rsid w:val="00D17BD7"/>
    <w:rsid w:val="00D20482"/>
    <w:rsid w:val="00D20CD6"/>
    <w:rsid w:val="00D21E5F"/>
    <w:rsid w:val="00D229EB"/>
    <w:rsid w:val="00D2374F"/>
    <w:rsid w:val="00D23B9D"/>
    <w:rsid w:val="00D23E05"/>
    <w:rsid w:val="00D2410A"/>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46F"/>
    <w:rsid w:val="00D35E23"/>
    <w:rsid w:val="00D366C3"/>
    <w:rsid w:val="00D37032"/>
    <w:rsid w:val="00D3783B"/>
    <w:rsid w:val="00D37ED5"/>
    <w:rsid w:val="00D402C2"/>
    <w:rsid w:val="00D413DB"/>
    <w:rsid w:val="00D418A5"/>
    <w:rsid w:val="00D42236"/>
    <w:rsid w:val="00D42A86"/>
    <w:rsid w:val="00D431F6"/>
    <w:rsid w:val="00D43C04"/>
    <w:rsid w:val="00D4481D"/>
    <w:rsid w:val="00D45F2F"/>
    <w:rsid w:val="00D464B7"/>
    <w:rsid w:val="00D467EC"/>
    <w:rsid w:val="00D46A20"/>
    <w:rsid w:val="00D46B83"/>
    <w:rsid w:val="00D51528"/>
    <w:rsid w:val="00D51D00"/>
    <w:rsid w:val="00D51D63"/>
    <w:rsid w:val="00D5211B"/>
    <w:rsid w:val="00D52436"/>
    <w:rsid w:val="00D52CC3"/>
    <w:rsid w:val="00D55CBB"/>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1DA"/>
    <w:rsid w:val="00D70507"/>
    <w:rsid w:val="00D70EE1"/>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3F0"/>
    <w:rsid w:val="00DA04E2"/>
    <w:rsid w:val="00DA079B"/>
    <w:rsid w:val="00DA2583"/>
    <w:rsid w:val="00DA2601"/>
    <w:rsid w:val="00DA2C44"/>
    <w:rsid w:val="00DA2E70"/>
    <w:rsid w:val="00DA3513"/>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6A07"/>
    <w:rsid w:val="00DB71E3"/>
    <w:rsid w:val="00DB76A0"/>
    <w:rsid w:val="00DB77D3"/>
    <w:rsid w:val="00DB7921"/>
    <w:rsid w:val="00DC0557"/>
    <w:rsid w:val="00DC0CA4"/>
    <w:rsid w:val="00DC1181"/>
    <w:rsid w:val="00DC141D"/>
    <w:rsid w:val="00DC152E"/>
    <w:rsid w:val="00DC1A90"/>
    <w:rsid w:val="00DC29D5"/>
    <w:rsid w:val="00DC306E"/>
    <w:rsid w:val="00DC3496"/>
    <w:rsid w:val="00DC35C2"/>
    <w:rsid w:val="00DC3A4B"/>
    <w:rsid w:val="00DC4ACF"/>
    <w:rsid w:val="00DC522D"/>
    <w:rsid w:val="00DC5777"/>
    <w:rsid w:val="00DC6049"/>
    <w:rsid w:val="00DC6303"/>
    <w:rsid w:val="00DC72DD"/>
    <w:rsid w:val="00DD0941"/>
    <w:rsid w:val="00DD0C24"/>
    <w:rsid w:val="00DD0CC0"/>
    <w:rsid w:val="00DD1541"/>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18C7"/>
    <w:rsid w:val="00DE20E9"/>
    <w:rsid w:val="00DE234D"/>
    <w:rsid w:val="00DE237A"/>
    <w:rsid w:val="00DE288F"/>
    <w:rsid w:val="00DE415B"/>
    <w:rsid w:val="00DE48ED"/>
    <w:rsid w:val="00DE491D"/>
    <w:rsid w:val="00DE4997"/>
    <w:rsid w:val="00DE5072"/>
    <w:rsid w:val="00DE57AB"/>
    <w:rsid w:val="00DE6312"/>
    <w:rsid w:val="00DE6321"/>
    <w:rsid w:val="00DE6476"/>
    <w:rsid w:val="00DE6E86"/>
    <w:rsid w:val="00DE7319"/>
    <w:rsid w:val="00DE741A"/>
    <w:rsid w:val="00DF0021"/>
    <w:rsid w:val="00DF16C9"/>
    <w:rsid w:val="00DF1B17"/>
    <w:rsid w:val="00DF1E5C"/>
    <w:rsid w:val="00DF2677"/>
    <w:rsid w:val="00DF2B16"/>
    <w:rsid w:val="00DF2D3E"/>
    <w:rsid w:val="00DF3CC9"/>
    <w:rsid w:val="00DF4577"/>
    <w:rsid w:val="00DF49B8"/>
    <w:rsid w:val="00DF5E9B"/>
    <w:rsid w:val="00DF63EC"/>
    <w:rsid w:val="00DF664D"/>
    <w:rsid w:val="00DF70DB"/>
    <w:rsid w:val="00DF7371"/>
    <w:rsid w:val="00E001FA"/>
    <w:rsid w:val="00E0150F"/>
    <w:rsid w:val="00E01874"/>
    <w:rsid w:val="00E019ED"/>
    <w:rsid w:val="00E021EE"/>
    <w:rsid w:val="00E07133"/>
    <w:rsid w:val="00E0777C"/>
    <w:rsid w:val="00E07B24"/>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80D"/>
    <w:rsid w:val="00E3190D"/>
    <w:rsid w:val="00E324E2"/>
    <w:rsid w:val="00E33293"/>
    <w:rsid w:val="00E3395A"/>
    <w:rsid w:val="00E33B7A"/>
    <w:rsid w:val="00E345F7"/>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51D5"/>
    <w:rsid w:val="00E47529"/>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0982"/>
    <w:rsid w:val="00E6168E"/>
    <w:rsid w:val="00E6242B"/>
    <w:rsid w:val="00E62B6D"/>
    <w:rsid w:val="00E62C36"/>
    <w:rsid w:val="00E6349A"/>
    <w:rsid w:val="00E63941"/>
    <w:rsid w:val="00E6395F"/>
    <w:rsid w:val="00E63A45"/>
    <w:rsid w:val="00E63CE2"/>
    <w:rsid w:val="00E654ED"/>
    <w:rsid w:val="00E66E41"/>
    <w:rsid w:val="00E67320"/>
    <w:rsid w:val="00E67B74"/>
    <w:rsid w:val="00E7014B"/>
    <w:rsid w:val="00E70F85"/>
    <w:rsid w:val="00E726B0"/>
    <w:rsid w:val="00E72D25"/>
    <w:rsid w:val="00E73811"/>
    <w:rsid w:val="00E74FAA"/>
    <w:rsid w:val="00E75F12"/>
    <w:rsid w:val="00E769CD"/>
    <w:rsid w:val="00E7759C"/>
    <w:rsid w:val="00E80A0F"/>
    <w:rsid w:val="00E81738"/>
    <w:rsid w:val="00E82C8B"/>
    <w:rsid w:val="00E82D32"/>
    <w:rsid w:val="00E83C42"/>
    <w:rsid w:val="00E84687"/>
    <w:rsid w:val="00E84879"/>
    <w:rsid w:val="00E849ED"/>
    <w:rsid w:val="00E84F3E"/>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3CDD"/>
    <w:rsid w:val="00EA4BF9"/>
    <w:rsid w:val="00EA56A6"/>
    <w:rsid w:val="00EA5809"/>
    <w:rsid w:val="00EA58E2"/>
    <w:rsid w:val="00EB008A"/>
    <w:rsid w:val="00EB0483"/>
    <w:rsid w:val="00EB0973"/>
    <w:rsid w:val="00EB399D"/>
    <w:rsid w:val="00EB41BE"/>
    <w:rsid w:val="00EB4754"/>
    <w:rsid w:val="00EB49FF"/>
    <w:rsid w:val="00EB4C97"/>
    <w:rsid w:val="00EB4FD0"/>
    <w:rsid w:val="00EB627D"/>
    <w:rsid w:val="00EB6EC7"/>
    <w:rsid w:val="00EC0D9F"/>
    <w:rsid w:val="00EC1083"/>
    <w:rsid w:val="00EC1B25"/>
    <w:rsid w:val="00EC1C19"/>
    <w:rsid w:val="00EC3B37"/>
    <w:rsid w:val="00EC4126"/>
    <w:rsid w:val="00EC4810"/>
    <w:rsid w:val="00EC5F07"/>
    <w:rsid w:val="00EC6244"/>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D7FEC"/>
    <w:rsid w:val="00EE14CA"/>
    <w:rsid w:val="00EE1F1D"/>
    <w:rsid w:val="00EE1F59"/>
    <w:rsid w:val="00EE2045"/>
    <w:rsid w:val="00EE26C1"/>
    <w:rsid w:val="00EE2E85"/>
    <w:rsid w:val="00EE3D49"/>
    <w:rsid w:val="00EE3FAC"/>
    <w:rsid w:val="00EE4194"/>
    <w:rsid w:val="00EE446E"/>
    <w:rsid w:val="00EE44C8"/>
    <w:rsid w:val="00EE4549"/>
    <w:rsid w:val="00EE4DC8"/>
    <w:rsid w:val="00EE4F34"/>
    <w:rsid w:val="00EE5B24"/>
    <w:rsid w:val="00EE5C0B"/>
    <w:rsid w:val="00EE7384"/>
    <w:rsid w:val="00EF02B4"/>
    <w:rsid w:val="00EF042A"/>
    <w:rsid w:val="00EF0ADB"/>
    <w:rsid w:val="00EF157C"/>
    <w:rsid w:val="00EF1E23"/>
    <w:rsid w:val="00EF224A"/>
    <w:rsid w:val="00EF29ED"/>
    <w:rsid w:val="00EF2A0D"/>
    <w:rsid w:val="00EF4957"/>
    <w:rsid w:val="00EF50F1"/>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50BB"/>
    <w:rsid w:val="00F26EEB"/>
    <w:rsid w:val="00F30A40"/>
    <w:rsid w:val="00F31222"/>
    <w:rsid w:val="00F31CC3"/>
    <w:rsid w:val="00F32730"/>
    <w:rsid w:val="00F33084"/>
    <w:rsid w:val="00F33241"/>
    <w:rsid w:val="00F33326"/>
    <w:rsid w:val="00F353C3"/>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57F"/>
    <w:rsid w:val="00F516DE"/>
    <w:rsid w:val="00F51EF3"/>
    <w:rsid w:val="00F52881"/>
    <w:rsid w:val="00F529C4"/>
    <w:rsid w:val="00F52C98"/>
    <w:rsid w:val="00F52CE0"/>
    <w:rsid w:val="00F53E92"/>
    <w:rsid w:val="00F54322"/>
    <w:rsid w:val="00F5442A"/>
    <w:rsid w:val="00F5495F"/>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95B"/>
    <w:rsid w:val="00F75E81"/>
    <w:rsid w:val="00F779C7"/>
    <w:rsid w:val="00F77AC1"/>
    <w:rsid w:val="00F77EE1"/>
    <w:rsid w:val="00F80B74"/>
    <w:rsid w:val="00F81A6D"/>
    <w:rsid w:val="00F821FB"/>
    <w:rsid w:val="00F824C9"/>
    <w:rsid w:val="00F82D41"/>
    <w:rsid w:val="00F8317E"/>
    <w:rsid w:val="00F8333C"/>
    <w:rsid w:val="00F833FA"/>
    <w:rsid w:val="00F8475B"/>
    <w:rsid w:val="00F8491F"/>
    <w:rsid w:val="00F84A6F"/>
    <w:rsid w:val="00F84D6E"/>
    <w:rsid w:val="00F86901"/>
    <w:rsid w:val="00F90155"/>
    <w:rsid w:val="00F90BC0"/>
    <w:rsid w:val="00F90EA6"/>
    <w:rsid w:val="00F91421"/>
    <w:rsid w:val="00F923D6"/>
    <w:rsid w:val="00F925FE"/>
    <w:rsid w:val="00F9274C"/>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3DA6"/>
    <w:rsid w:val="00FB3DEF"/>
    <w:rsid w:val="00FB484B"/>
    <w:rsid w:val="00FB48E5"/>
    <w:rsid w:val="00FB631B"/>
    <w:rsid w:val="00FB644F"/>
    <w:rsid w:val="00FB6C7C"/>
    <w:rsid w:val="00FB6D32"/>
    <w:rsid w:val="00FB6D92"/>
    <w:rsid w:val="00FB7486"/>
    <w:rsid w:val="00FB7538"/>
    <w:rsid w:val="00FB7F09"/>
    <w:rsid w:val="00FC0D52"/>
    <w:rsid w:val="00FC1719"/>
    <w:rsid w:val="00FC1C22"/>
    <w:rsid w:val="00FC2DC2"/>
    <w:rsid w:val="00FC3258"/>
    <w:rsid w:val="00FC3397"/>
    <w:rsid w:val="00FC33B3"/>
    <w:rsid w:val="00FC3924"/>
    <w:rsid w:val="00FC459B"/>
    <w:rsid w:val="00FC5909"/>
    <w:rsid w:val="00FC6A86"/>
    <w:rsid w:val="00FC770E"/>
    <w:rsid w:val="00FC7E8C"/>
    <w:rsid w:val="00FD0CCE"/>
    <w:rsid w:val="00FD2AFD"/>
    <w:rsid w:val="00FD37F6"/>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6C47"/>
    <w:rsid w:val="00FE7320"/>
    <w:rsid w:val="00FF1495"/>
    <w:rsid w:val="00FF1D72"/>
    <w:rsid w:val="00FF306F"/>
    <w:rsid w:val="00FF365D"/>
    <w:rsid w:val="00FF5A44"/>
    <w:rsid w:val="00FF63DC"/>
    <w:rsid w:val="00FF6A1F"/>
    <w:rsid w:val="00FF6ACE"/>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81ADD"/>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503"/>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paragraph" w:customStyle="1" w:styleId="mb-0">
    <w:name w:val="mb-0"/>
    <w:basedOn w:val="Normal"/>
    <w:rsid w:val="005F4F7E"/>
    <w:pPr>
      <w:widowControl/>
      <w:suppressAutoHyphens w:val="0"/>
      <w:spacing w:before="100" w:beforeAutospacing="1" w:after="100" w:afterAutospacing="1"/>
    </w:pPr>
    <w:rPr>
      <w:rFonts w:eastAsia="Times New Roman" w:cs="Times New Roman"/>
      <w:kern w:val="0"/>
      <w:lang w:eastAsia="pt-BR" w:bidi="ar-SA"/>
    </w:rPr>
  </w:style>
  <w:style w:type="table" w:styleId="TabeladeGrade2-nfase3">
    <w:name w:val="Grid Table 2 Accent 3"/>
    <w:basedOn w:val="Tabelanormal"/>
    <w:uiPriority w:val="47"/>
    <w:rsid w:val="007234D9"/>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6Colorida-nfase3">
    <w:name w:val="Grid Table 6 Colorful Accent 3"/>
    <w:basedOn w:val="Tabelanormal"/>
    <w:uiPriority w:val="51"/>
    <w:rsid w:val="007234D9"/>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ml-1">
    <w:name w:val="ml-1"/>
    <w:basedOn w:val="Fontepargpadro"/>
    <w:rsid w:val="001D49BB"/>
  </w:style>
  <w:style w:type="table" w:styleId="TabeladeGradeClara">
    <w:name w:val="Grid Table Light"/>
    <w:basedOn w:val="Tabelanormal"/>
    <w:uiPriority w:val="40"/>
    <w:rsid w:val="00EF0AD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oPendente">
    <w:name w:val="Unresolved Mention"/>
    <w:basedOn w:val="Fontepargpadro"/>
    <w:uiPriority w:val="99"/>
    <w:semiHidden/>
    <w:unhideWhenUsed/>
    <w:rsid w:val="00A960CF"/>
    <w:rPr>
      <w:color w:val="605E5C"/>
      <w:shd w:val="clear" w:color="auto" w:fill="E1DFDD"/>
    </w:rPr>
  </w:style>
  <w:style w:type="table" w:styleId="TabeladeGrade1Clara">
    <w:name w:val="Grid Table 1 Light"/>
    <w:basedOn w:val="Tabelanormal"/>
    <w:uiPriority w:val="46"/>
    <w:rsid w:val="00133AA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2507395">
      <w:bodyDiv w:val="1"/>
      <w:marLeft w:val="0"/>
      <w:marRight w:val="0"/>
      <w:marTop w:val="0"/>
      <w:marBottom w:val="0"/>
      <w:divBdr>
        <w:top w:val="none" w:sz="0" w:space="0" w:color="auto"/>
        <w:left w:val="none" w:sz="0" w:space="0" w:color="auto"/>
        <w:bottom w:val="none" w:sz="0" w:space="0" w:color="auto"/>
        <w:right w:val="none" w:sz="0" w:space="0" w:color="auto"/>
      </w:divBdr>
    </w:div>
    <w:div w:id="56830755">
      <w:bodyDiv w:val="1"/>
      <w:marLeft w:val="0"/>
      <w:marRight w:val="0"/>
      <w:marTop w:val="0"/>
      <w:marBottom w:val="0"/>
      <w:divBdr>
        <w:top w:val="none" w:sz="0" w:space="0" w:color="auto"/>
        <w:left w:val="none" w:sz="0" w:space="0" w:color="auto"/>
        <w:bottom w:val="none" w:sz="0" w:space="0" w:color="auto"/>
        <w:right w:val="none" w:sz="0" w:space="0" w:color="auto"/>
      </w:divBdr>
    </w:div>
    <w:div w:id="62993551">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20996611">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54886278">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94663734">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59601844">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6062554">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19527732">
      <w:bodyDiv w:val="1"/>
      <w:marLeft w:val="0"/>
      <w:marRight w:val="0"/>
      <w:marTop w:val="0"/>
      <w:marBottom w:val="0"/>
      <w:divBdr>
        <w:top w:val="none" w:sz="0" w:space="0" w:color="auto"/>
        <w:left w:val="none" w:sz="0" w:space="0" w:color="auto"/>
        <w:bottom w:val="none" w:sz="0" w:space="0" w:color="auto"/>
        <w:right w:val="none" w:sz="0" w:space="0" w:color="auto"/>
      </w:divBdr>
    </w:div>
    <w:div w:id="420685066">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1895350">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496312657">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69923765">
      <w:bodyDiv w:val="1"/>
      <w:marLeft w:val="0"/>
      <w:marRight w:val="0"/>
      <w:marTop w:val="0"/>
      <w:marBottom w:val="0"/>
      <w:divBdr>
        <w:top w:val="none" w:sz="0" w:space="0" w:color="auto"/>
        <w:left w:val="none" w:sz="0" w:space="0" w:color="auto"/>
        <w:bottom w:val="none" w:sz="0" w:space="0" w:color="auto"/>
        <w:right w:val="none" w:sz="0" w:space="0" w:color="auto"/>
      </w:divBdr>
    </w:div>
    <w:div w:id="587157090">
      <w:bodyDiv w:val="1"/>
      <w:marLeft w:val="0"/>
      <w:marRight w:val="0"/>
      <w:marTop w:val="0"/>
      <w:marBottom w:val="0"/>
      <w:divBdr>
        <w:top w:val="none" w:sz="0" w:space="0" w:color="auto"/>
        <w:left w:val="none" w:sz="0" w:space="0" w:color="auto"/>
        <w:bottom w:val="none" w:sz="0" w:space="0" w:color="auto"/>
        <w:right w:val="none" w:sz="0" w:space="0" w:color="auto"/>
      </w:divBdr>
    </w:div>
    <w:div w:id="607587336">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5523524">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19926655">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6968667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09458370">
      <w:bodyDiv w:val="1"/>
      <w:marLeft w:val="0"/>
      <w:marRight w:val="0"/>
      <w:marTop w:val="0"/>
      <w:marBottom w:val="0"/>
      <w:divBdr>
        <w:top w:val="none" w:sz="0" w:space="0" w:color="auto"/>
        <w:left w:val="none" w:sz="0" w:space="0" w:color="auto"/>
        <w:bottom w:val="none" w:sz="0" w:space="0" w:color="auto"/>
        <w:right w:val="none" w:sz="0" w:space="0" w:color="auto"/>
      </w:divBdr>
    </w:div>
    <w:div w:id="931082552">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2634536">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00175221">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3556680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59232265">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05218074">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48226122">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147461">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06810644">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37421255">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48291965">
      <w:bodyDiv w:val="1"/>
      <w:marLeft w:val="0"/>
      <w:marRight w:val="0"/>
      <w:marTop w:val="0"/>
      <w:marBottom w:val="0"/>
      <w:divBdr>
        <w:top w:val="none" w:sz="0" w:space="0" w:color="auto"/>
        <w:left w:val="none" w:sz="0" w:space="0" w:color="auto"/>
        <w:bottom w:val="none" w:sz="0" w:space="0" w:color="auto"/>
        <w:right w:val="none" w:sz="0" w:space="0" w:color="auto"/>
      </w:divBdr>
    </w:div>
    <w:div w:id="1366444769">
      <w:bodyDiv w:val="1"/>
      <w:marLeft w:val="0"/>
      <w:marRight w:val="0"/>
      <w:marTop w:val="0"/>
      <w:marBottom w:val="0"/>
      <w:divBdr>
        <w:top w:val="none" w:sz="0" w:space="0" w:color="auto"/>
        <w:left w:val="none" w:sz="0" w:space="0" w:color="auto"/>
        <w:bottom w:val="none" w:sz="0" w:space="0" w:color="auto"/>
        <w:right w:val="none" w:sz="0" w:space="0" w:color="auto"/>
      </w:divBdr>
    </w:div>
    <w:div w:id="1396708386">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45096591">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0633457">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599681962">
      <w:bodyDiv w:val="1"/>
      <w:marLeft w:val="0"/>
      <w:marRight w:val="0"/>
      <w:marTop w:val="0"/>
      <w:marBottom w:val="0"/>
      <w:divBdr>
        <w:top w:val="none" w:sz="0" w:space="0" w:color="auto"/>
        <w:left w:val="none" w:sz="0" w:space="0" w:color="auto"/>
        <w:bottom w:val="none" w:sz="0" w:space="0" w:color="auto"/>
        <w:right w:val="none" w:sz="0" w:space="0" w:color="auto"/>
      </w:divBdr>
    </w:div>
    <w:div w:id="1605991399">
      <w:bodyDiv w:val="1"/>
      <w:marLeft w:val="0"/>
      <w:marRight w:val="0"/>
      <w:marTop w:val="0"/>
      <w:marBottom w:val="0"/>
      <w:divBdr>
        <w:top w:val="none" w:sz="0" w:space="0" w:color="auto"/>
        <w:left w:val="none" w:sz="0" w:space="0" w:color="auto"/>
        <w:bottom w:val="none" w:sz="0" w:space="0" w:color="auto"/>
        <w:right w:val="none" w:sz="0" w:space="0" w:color="auto"/>
      </w:divBdr>
    </w:div>
    <w:div w:id="1610115999">
      <w:bodyDiv w:val="1"/>
      <w:marLeft w:val="0"/>
      <w:marRight w:val="0"/>
      <w:marTop w:val="0"/>
      <w:marBottom w:val="0"/>
      <w:divBdr>
        <w:top w:val="none" w:sz="0" w:space="0" w:color="auto"/>
        <w:left w:val="none" w:sz="0" w:space="0" w:color="auto"/>
        <w:bottom w:val="none" w:sz="0" w:space="0" w:color="auto"/>
        <w:right w:val="none" w:sz="0" w:space="0" w:color="auto"/>
      </w:divBdr>
    </w:div>
    <w:div w:id="1611627302">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1589475">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113436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47936476">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64201738">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37980676">
      <w:bodyDiv w:val="1"/>
      <w:marLeft w:val="0"/>
      <w:marRight w:val="0"/>
      <w:marTop w:val="0"/>
      <w:marBottom w:val="0"/>
      <w:divBdr>
        <w:top w:val="none" w:sz="0" w:space="0" w:color="auto"/>
        <w:left w:val="none" w:sz="0" w:space="0" w:color="auto"/>
        <w:bottom w:val="none" w:sz="0" w:space="0" w:color="auto"/>
        <w:right w:val="none" w:sz="0" w:space="0" w:color="auto"/>
      </w:divBdr>
      <w:divsChild>
        <w:div w:id="25375229">
          <w:marLeft w:val="0"/>
          <w:marRight w:val="0"/>
          <w:marTop w:val="0"/>
          <w:marBottom w:val="0"/>
          <w:divBdr>
            <w:top w:val="none" w:sz="0" w:space="0" w:color="auto"/>
            <w:left w:val="none" w:sz="0" w:space="0" w:color="auto"/>
            <w:bottom w:val="none" w:sz="0" w:space="0" w:color="auto"/>
            <w:right w:val="none" w:sz="0" w:space="0" w:color="auto"/>
          </w:divBdr>
          <w:divsChild>
            <w:div w:id="67850042">
              <w:marLeft w:val="0"/>
              <w:marRight w:val="0"/>
              <w:marTop w:val="0"/>
              <w:marBottom w:val="0"/>
              <w:divBdr>
                <w:top w:val="single" w:sz="6" w:space="0" w:color="E0E5F3"/>
                <w:left w:val="single" w:sz="6" w:space="0" w:color="E0E5F3"/>
                <w:bottom w:val="single" w:sz="6" w:space="0" w:color="E0E5F3"/>
                <w:right w:val="single" w:sz="6" w:space="0" w:color="E0E5F3"/>
              </w:divBdr>
              <w:divsChild>
                <w:div w:id="1040977020">
                  <w:marLeft w:val="0"/>
                  <w:marRight w:val="0"/>
                  <w:marTop w:val="0"/>
                  <w:marBottom w:val="0"/>
                  <w:divBdr>
                    <w:top w:val="none" w:sz="0" w:space="0" w:color="auto"/>
                    <w:left w:val="none" w:sz="0" w:space="0" w:color="auto"/>
                    <w:bottom w:val="none" w:sz="0" w:space="0" w:color="auto"/>
                    <w:right w:val="none" w:sz="0" w:space="0" w:color="auto"/>
                  </w:divBdr>
                  <w:divsChild>
                    <w:div w:id="1250385268">
                      <w:marLeft w:val="0"/>
                      <w:marRight w:val="0"/>
                      <w:marTop w:val="0"/>
                      <w:marBottom w:val="0"/>
                      <w:divBdr>
                        <w:top w:val="none" w:sz="0" w:space="0" w:color="auto"/>
                        <w:left w:val="none" w:sz="0" w:space="0" w:color="auto"/>
                        <w:bottom w:val="none" w:sz="0" w:space="0" w:color="auto"/>
                        <w:right w:val="none" w:sz="0" w:space="0" w:color="auto"/>
                      </w:divBdr>
                      <w:divsChild>
                        <w:div w:id="1418550647">
                          <w:marLeft w:val="0"/>
                          <w:marRight w:val="0"/>
                          <w:marTop w:val="0"/>
                          <w:marBottom w:val="0"/>
                          <w:divBdr>
                            <w:top w:val="none" w:sz="0" w:space="0" w:color="auto"/>
                            <w:left w:val="none" w:sz="0" w:space="0" w:color="auto"/>
                            <w:bottom w:val="none" w:sz="0" w:space="0" w:color="auto"/>
                            <w:right w:val="none" w:sz="0" w:space="0" w:color="auto"/>
                          </w:divBdr>
                          <w:divsChild>
                            <w:div w:id="137804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990202">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56789259">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0833931">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2gpr.sefaz.ce.gov.br/licita-web/paginas/licita/PublicacaoListItens.seam?codigoItemCatalogo=204525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ncp.gov.br/app/editais?status=todos&amp;pagina=1&amp;q=07954480000179-1-013911%2F2025"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8338C-E6F9-498B-81D3-F4A3156D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15</Pages>
  <Words>5274</Words>
  <Characters>28484</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52</cp:revision>
  <cp:lastPrinted>2025-02-13T17:40:00Z</cp:lastPrinted>
  <dcterms:created xsi:type="dcterms:W3CDTF">2025-04-11T14:34:00Z</dcterms:created>
  <dcterms:modified xsi:type="dcterms:W3CDTF">2025-09-24T17:59:00Z</dcterms:modified>
</cp:coreProperties>
</file>